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9CE6" w14:textId="77777777" w:rsidR="00BA0F77" w:rsidRDefault="00BA0F77" w:rsidP="00BA0F77">
      <w:r w:rsidRPr="00BA0F77">
        <w:t xml:space="preserve"> </w:t>
      </w:r>
      <w:r>
        <w:rPr>
          <w:noProof/>
          <w:lang w:eastAsia="en-GB"/>
        </w:rPr>
        <w:drawing>
          <wp:inline distT="0" distB="0" distL="0" distR="0" wp14:anchorId="7F6E6110" wp14:editId="488EA8A2">
            <wp:extent cx="2962910" cy="1268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31213" w14:textId="77777777" w:rsidR="00BA0F77" w:rsidRDefault="00BA0F77" w:rsidP="00BA0F77"/>
    <w:p w14:paraId="599939AB" w14:textId="77777777" w:rsidR="00BA0F77" w:rsidRDefault="00BA0F77" w:rsidP="00BA0F77"/>
    <w:p w14:paraId="66463BFF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2F788E8A" w14:textId="77777777" w:rsidR="00BA0F77" w:rsidRDefault="00BA0F77" w:rsidP="00BA0F77">
      <w:pPr>
        <w:jc w:val="center"/>
        <w:rPr>
          <w:b/>
          <w:sz w:val="72"/>
          <w:szCs w:val="72"/>
        </w:rPr>
      </w:pPr>
      <w:r w:rsidRPr="00BA0F77">
        <w:rPr>
          <w:b/>
          <w:sz w:val="72"/>
          <w:szCs w:val="72"/>
        </w:rPr>
        <w:t>Anti-Social Behaviour Policy</w:t>
      </w:r>
    </w:p>
    <w:p w14:paraId="3F0102FF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24DCD9B0" w14:textId="77777777" w:rsidR="00BA0F77" w:rsidRDefault="00BA0F77" w:rsidP="00BA0F77">
      <w:pPr>
        <w:jc w:val="center"/>
        <w:rPr>
          <w:b/>
          <w:sz w:val="72"/>
          <w:szCs w:val="72"/>
        </w:rPr>
      </w:pPr>
    </w:p>
    <w:tbl>
      <w:tblPr>
        <w:tblpPr w:leftFromText="180" w:rightFromText="180" w:vertAnchor="text" w:horzAnchor="margin" w:tblpXSpec="center" w:tblpY="3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BA0F77" w:rsidRPr="006039F3" w14:paraId="44BE1925" w14:textId="77777777" w:rsidTr="00BA0F77">
        <w:tc>
          <w:tcPr>
            <w:tcW w:w="2088" w:type="dxa"/>
          </w:tcPr>
          <w:p w14:paraId="479801BD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4320" w:type="dxa"/>
          </w:tcPr>
          <w:p w14:paraId="2D879078" w14:textId="139478AD" w:rsidR="00BA0F77" w:rsidRPr="006039F3" w:rsidRDefault="00D07956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A0F77" w:rsidRPr="006039F3" w14:paraId="2CBC4D84" w14:textId="77777777" w:rsidTr="00BA0F77">
        <w:tc>
          <w:tcPr>
            <w:tcW w:w="2088" w:type="dxa"/>
          </w:tcPr>
          <w:p w14:paraId="4BD77A35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Prepared by</w:t>
            </w:r>
          </w:p>
        </w:tc>
        <w:tc>
          <w:tcPr>
            <w:tcW w:w="4320" w:type="dxa"/>
          </w:tcPr>
          <w:p w14:paraId="24780DF6" w14:textId="77777777" w:rsidR="00BA0F77" w:rsidRPr="006039F3" w:rsidRDefault="00BA0F77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Jotepreet Bhandal </w:t>
            </w:r>
          </w:p>
        </w:tc>
      </w:tr>
      <w:tr w:rsidR="00BA0F77" w:rsidRPr="006039F3" w14:paraId="6E2EC6C0" w14:textId="77777777" w:rsidTr="00BA0F77">
        <w:tc>
          <w:tcPr>
            <w:tcW w:w="2088" w:type="dxa"/>
          </w:tcPr>
          <w:p w14:paraId="4EF68ECE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Approved by</w:t>
            </w:r>
          </w:p>
        </w:tc>
        <w:tc>
          <w:tcPr>
            <w:tcW w:w="4320" w:type="dxa"/>
          </w:tcPr>
          <w:p w14:paraId="63D1441C" w14:textId="6380F36B" w:rsidR="00BA0F77" w:rsidRPr="006039F3" w:rsidRDefault="00381430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Directors Group</w:t>
            </w:r>
          </w:p>
        </w:tc>
      </w:tr>
      <w:tr w:rsidR="00BA0F77" w:rsidRPr="006039F3" w14:paraId="126685E9" w14:textId="77777777" w:rsidTr="00BA0F77">
        <w:tc>
          <w:tcPr>
            <w:tcW w:w="2088" w:type="dxa"/>
          </w:tcPr>
          <w:p w14:paraId="138BB920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Approved date</w:t>
            </w:r>
          </w:p>
        </w:tc>
        <w:tc>
          <w:tcPr>
            <w:tcW w:w="4320" w:type="dxa"/>
          </w:tcPr>
          <w:p w14:paraId="7249C063" w14:textId="0F948FBF" w:rsidR="00BA0F77" w:rsidRPr="006039F3" w:rsidRDefault="00381430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38143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 2020</w:t>
            </w:r>
          </w:p>
        </w:tc>
      </w:tr>
      <w:tr w:rsidR="00BA0F77" w:rsidRPr="006039F3" w14:paraId="31CD9A39" w14:textId="77777777" w:rsidTr="00BA0F77">
        <w:trPr>
          <w:trHeight w:val="70"/>
        </w:trPr>
        <w:tc>
          <w:tcPr>
            <w:tcW w:w="2088" w:type="dxa"/>
          </w:tcPr>
          <w:p w14:paraId="022BFD83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320" w:type="dxa"/>
          </w:tcPr>
          <w:p w14:paraId="6CA9311A" w14:textId="77777777" w:rsidR="00BA0F77" w:rsidRPr="006039F3" w:rsidRDefault="00BA0F77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2017</w:t>
            </w:r>
          </w:p>
        </w:tc>
      </w:tr>
      <w:tr w:rsidR="00BA0F77" w:rsidRPr="006039F3" w14:paraId="14D8432D" w14:textId="77777777" w:rsidTr="00BA0F77">
        <w:tc>
          <w:tcPr>
            <w:tcW w:w="2088" w:type="dxa"/>
          </w:tcPr>
          <w:p w14:paraId="37A25D24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Document Owner</w:t>
            </w:r>
          </w:p>
        </w:tc>
        <w:tc>
          <w:tcPr>
            <w:tcW w:w="4320" w:type="dxa"/>
          </w:tcPr>
          <w:p w14:paraId="6ADBFF26" w14:textId="77777777" w:rsidR="00BA0F77" w:rsidRPr="006039F3" w:rsidRDefault="00BA0F77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Judith Harri</w:t>
            </w:r>
            <w:r w:rsidR="003212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</w:tr>
      <w:tr w:rsidR="00BA0F77" w:rsidRPr="006039F3" w14:paraId="46CA4E45" w14:textId="77777777" w:rsidTr="00BA0F77">
        <w:tc>
          <w:tcPr>
            <w:tcW w:w="2088" w:type="dxa"/>
          </w:tcPr>
          <w:p w14:paraId="4795DE41" w14:textId="77777777" w:rsidR="00BA0F77" w:rsidRPr="006039F3" w:rsidRDefault="00BA0F77" w:rsidP="00BA0F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039F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Date of Next Review</w:t>
            </w:r>
          </w:p>
        </w:tc>
        <w:tc>
          <w:tcPr>
            <w:tcW w:w="4320" w:type="dxa"/>
          </w:tcPr>
          <w:p w14:paraId="5B7C3356" w14:textId="77777777" w:rsidR="00BA0F77" w:rsidRPr="006039F3" w:rsidRDefault="00BA0F77" w:rsidP="00BA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</w:t>
            </w:r>
          </w:p>
        </w:tc>
      </w:tr>
    </w:tbl>
    <w:p w14:paraId="5A2999B6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08FAC37F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172A9397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576CC106" w14:textId="77777777" w:rsidR="00BA0F77" w:rsidRDefault="00BA0F77" w:rsidP="00BA0F77">
      <w:pPr>
        <w:jc w:val="center"/>
        <w:rPr>
          <w:b/>
          <w:sz w:val="72"/>
          <w:szCs w:val="72"/>
        </w:rPr>
      </w:pPr>
    </w:p>
    <w:p w14:paraId="0235F3BA" w14:textId="77777777" w:rsidR="00BA0F77" w:rsidRPr="003212AD" w:rsidRDefault="00886ACD" w:rsidP="00130F0A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lastRenderedPageBreak/>
        <w:t>Purpose and Scope</w:t>
      </w:r>
    </w:p>
    <w:p w14:paraId="6AD3D34D" w14:textId="77777777" w:rsidR="007E108A" w:rsidRPr="003212AD" w:rsidRDefault="009448BC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This policy outline</w:t>
      </w:r>
      <w:r w:rsidR="00035D49" w:rsidRPr="003212AD">
        <w:rPr>
          <w:b w:val="0"/>
          <w:color w:val="000000" w:themeColor="text1"/>
        </w:rPr>
        <w:t>s Hexagon’s approach to</w:t>
      </w:r>
      <w:r w:rsidR="00A052F3" w:rsidRPr="003212AD">
        <w:rPr>
          <w:b w:val="0"/>
          <w:color w:val="000000" w:themeColor="text1"/>
        </w:rPr>
        <w:t xml:space="preserve"> </w:t>
      </w:r>
      <w:r w:rsidR="007E108A" w:rsidRPr="003212AD">
        <w:rPr>
          <w:b w:val="0"/>
          <w:color w:val="000000" w:themeColor="text1"/>
        </w:rPr>
        <w:t>tackling anti</w:t>
      </w:r>
      <w:r w:rsidR="00035D49" w:rsidRPr="003212AD">
        <w:rPr>
          <w:b w:val="0"/>
          <w:color w:val="000000" w:themeColor="text1"/>
        </w:rPr>
        <w:t xml:space="preserve">-social behaviour </w:t>
      </w:r>
      <w:r w:rsidR="00F2200F" w:rsidRPr="003212AD">
        <w:rPr>
          <w:b w:val="0"/>
          <w:color w:val="000000" w:themeColor="text1"/>
        </w:rPr>
        <w:t>(ASB</w:t>
      </w:r>
      <w:r w:rsidR="00035D49" w:rsidRPr="003212AD">
        <w:rPr>
          <w:b w:val="0"/>
          <w:color w:val="000000" w:themeColor="text1"/>
        </w:rPr>
        <w:t>)</w:t>
      </w:r>
      <w:r w:rsidR="00A052F3" w:rsidRPr="003212AD">
        <w:rPr>
          <w:b w:val="0"/>
          <w:color w:val="000000" w:themeColor="text1"/>
        </w:rPr>
        <w:t xml:space="preserve">. </w:t>
      </w:r>
      <w:r w:rsidR="007E108A" w:rsidRPr="003212AD">
        <w:rPr>
          <w:b w:val="0"/>
          <w:color w:val="000000" w:themeColor="text1"/>
        </w:rPr>
        <w:t xml:space="preserve"> It applies to residents across all tenure types, Hexagon staff and contractors.</w:t>
      </w:r>
    </w:p>
    <w:p w14:paraId="5B5E1BAC" w14:textId="77777777" w:rsidR="007E108A" w:rsidRPr="003212AD" w:rsidRDefault="007E108A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As a social landlord we recognise how disruptive ASB can be on individuals, neighbourhoods and communities. Our aim is to prevent ASB from occurring without </w:t>
      </w:r>
      <w:r w:rsidR="00CD7EFE" w:rsidRPr="003212AD">
        <w:rPr>
          <w:b w:val="0"/>
          <w:color w:val="000000" w:themeColor="text1"/>
        </w:rPr>
        <w:t>causing</w:t>
      </w:r>
      <w:r w:rsidRPr="003212AD">
        <w:rPr>
          <w:b w:val="0"/>
          <w:color w:val="000000" w:themeColor="text1"/>
        </w:rPr>
        <w:t xml:space="preserve"> the loss of tenancies. </w:t>
      </w:r>
    </w:p>
    <w:p w14:paraId="44587937" w14:textId="77777777" w:rsidR="007E108A" w:rsidRPr="003212AD" w:rsidRDefault="007E108A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In our response to ASB we will be proportionate when conside</w:t>
      </w:r>
      <w:r w:rsidR="00CD7EFE" w:rsidRPr="003212AD">
        <w:rPr>
          <w:b w:val="0"/>
          <w:color w:val="000000" w:themeColor="text1"/>
        </w:rPr>
        <w:t xml:space="preserve">ring the amount of harm caused and will adopt a victim </w:t>
      </w:r>
      <w:r w:rsidR="00936A96" w:rsidRPr="003212AD">
        <w:rPr>
          <w:b w:val="0"/>
          <w:color w:val="000000" w:themeColor="text1"/>
        </w:rPr>
        <w:t>centred</w:t>
      </w:r>
      <w:r w:rsidR="009D0502" w:rsidRPr="003212AD">
        <w:rPr>
          <w:b w:val="0"/>
          <w:color w:val="000000" w:themeColor="text1"/>
        </w:rPr>
        <w:t xml:space="preserve"> and risk based approach, working in partnership with other agencies</w:t>
      </w:r>
      <w:r w:rsidR="00CD7EFE" w:rsidRPr="003212AD">
        <w:rPr>
          <w:b w:val="0"/>
          <w:color w:val="000000" w:themeColor="text1"/>
        </w:rPr>
        <w:t xml:space="preserve">. </w:t>
      </w:r>
    </w:p>
    <w:p w14:paraId="112F03C2" w14:textId="77777777" w:rsidR="00EC3030" w:rsidRPr="003212AD" w:rsidRDefault="007E108A" w:rsidP="003212AD">
      <w:pPr>
        <w:pStyle w:val="Heading3"/>
        <w:spacing w:after="240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This policy only covers </w:t>
      </w:r>
      <w:r w:rsidR="00150CBD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 xml:space="preserve"> and should be read in </w:t>
      </w:r>
      <w:r w:rsidR="00E167EC" w:rsidRPr="003212AD">
        <w:rPr>
          <w:b w:val="0"/>
          <w:color w:val="000000" w:themeColor="text1"/>
        </w:rPr>
        <w:t>conjunction</w:t>
      </w:r>
      <w:r w:rsidRPr="003212AD">
        <w:rPr>
          <w:b w:val="0"/>
          <w:color w:val="000000" w:themeColor="text1"/>
        </w:rPr>
        <w:t xml:space="preserve"> with the </w:t>
      </w:r>
      <w:r w:rsidR="00150CBD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 xml:space="preserve"> procedure</w:t>
      </w:r>
      <w:r w:rsidR="00EC3030" w:rsidRPr="003212AD">
        <w:rPr>
          <w:b w:val="0"/>
          <w:color w:val="000000" w:themeColor="text1"/>
        </w:rPr>
        <w:t>.</w:t>
      </w:r>
      <w:r w:rsidRPr="003212AD">
        <w:rPr>
          <w:b w:val="0"/>
          <w:color w:val="000000" w:themeColor="text1"/>
        </w:rPr>
        <w:t xml:space="preserve"> </w:t>
      </w:r>
      <w:r w:rsidR="004F2DBE" w:rsidRPr="00114B5C">
        <w:rPr>
          <w:b w:val="0"/>
          <w:color w:val="000000" w:themeColor="text1"/>
        </w:rPr>
        <w:t>Harassment</w:t>
      </w:r>
      <w:r w:rsidR="004F2DBE">
        <w:rPr>
          <w:b w:val="0"/>
          <w:color w:val="000000" w:themeColor="text1"/>
        </w:rPr>
        <w:t xml:space="preserve">, </w:t>
      </w:r>
      <w:r w:rsidR="004F2DBE" w:rsidRPr="00114B5C">
        <w:rPr>
          <w:b w:val="0"/>
          <w:color w:val="000000" w:themeColor="text1"/>
        </w:rPr>
        <w:t>Hate</w:t>
      </w:r>
      <w:r w:rsidR="00EC3030" w:rsidRPr="003212AD">
        <w:rPr>
          <w:b w:val="0"/>
          <w:color w:val="000000" w:themeColor="text1"/>
        </w:rPr>
        <w:t xml:space="preserve"> </w:t>
      </w:r>
      <w:r w:rsidR="004F2DBE" w:rsidRPr="00114B5C">
        <w:rPr>
          <w:b w:val="0"/>
          <w:color w:val="000000" w:themeColor="text1"/>
        </w:rPr>
        <w:t xml:space="preserve">crime </w:t>
      </w:r>
      <w:r w:rsidR="004F2DBE">
        <w:rPr>
          <w:b w:val="0"/>
          <w:color w:val="000000" w:themeColor="text1"/>
        </w:rPr>
        <w:t xml:space="preserve">and Domestic Abuse are dealt with in separate policies. </w:t>
      </w:r>
    </w:p>
    <w:p w14:paraId="53AFD59C" w14:textId="77777777" w:rsidR="009448BC" w:rsidRPr="003212AD" w:rsidRDefault="009D0502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 w:rsidDel="00B04E3A">
        <w:rPr>
          <w:b w:val="0"/>
          <w:color w:val="000000" w:themeColor="text1"/>
          <w:sz w:val="36"/>
          <w:szCs w:val="36"/>
        </w:rPr>
        <w:t xml:space="preserve"> </w:t>
      </w:r>
      <w:r w:rsidR="00F25EDE" w:rsidRPr="003212AD">
        <w:rPr>
          <w:color w:val="000000" w:themeColor="text1"/>
          <w:sz w:val="36"/>
          <w:szCs w:val="36"/>
        </w:rPr>
        <w:t>Definition</w:t>
      </w:r>
      <w:r w:rsidR="009448BC" w:rsidRPr="003212AD">
        <w:rPr>
          <w:color w:val="000000" w:themeColor="text1"/>
          <w:sz w:val="36"/>
          <w:szCs w:val="36"/>
        </w:rPr>
        <w:t xml:space="preserve"> </w:t>
      </w:r>
      <w:r w:rsidR="001C068E">
        <w:rPr>
          <w:color w:val="000000" w:themeColor="text1"/>
          <w:sz w:val="36"/>
          <w:szCs w:val="36"/>
        </w:rPr>
        <w:t xml:space="preserve"> </w:t>
      </w:r>
    </w:p>
    <w:p w14:paraId="1BA29AFD" w14:textId="77777777" w:rsidR="00F25EDE" w:rsidRPr="003212AD" w:rsidRDefault="00F25EDE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Hexagon </w:t>
      </w:r>
      <w:r w:rsidR="00CA103A" w:rsidRPr="003212AD">
        <w:rPr>
          <w:b w:val="0"/>
          <w:color w:val="000000" w:themeColor="text1"/>
        </w:rPr>
        <w:t>will use the</w:t>
      </w:r>
      <w:r w:rsidRPr="003212AD">
        <w:rPr>
          <w:b w:val="0"/>
          <w:color w:val="000000" w:themeColor="text1"/>
        </w:rPr>
        <w:t xml:space="preserve"> following definition of ASB from the ASB, Crime and Policing Act 2014</w:t>
      </w:r>
      <w:r w:rsidR="00F80889" w:rsidRPr="003212AD">
        <w:rPr>
          <w:b w:val="0"/>
          <w:color w:val="000000" w:themeColor="text1"/>
        </w:rPr>
        <w:t>:</w:t>
      </w:r>
    </w:p>
    <w:p w14:paraId="4820A32B" w14:textId="77777777" w:rsidR="00F25EDE" w:rsidRPr="003212AD" w:rsidRDefault="00F25EDE" w:rsidP="003212AD">
      <w:pPr>
        <w:pStyle w:val="Heading3"/>
        <w:spacing w:after="240"/>
        <w:rPr>
          <w:color w:val="000000" w:themeColor="text1"/>
        </w:rPr>
      </w:pPr>
      <w:r w:rsidRPr="003212AD">
        <w:rPr>
          <w:b w:val="0"/>
          <w:color w:val="000000" w:themeColor="text1"/>
        </w:rPr>
        <w:t xml:space="preserve">“Conduct that has caused, or is likely to cause, harassment, alarm or distress to any person. Conduct capable of causing nuisance or annoyance to a person in relation to that person’s occupation of residential premises. Or conduct capable of causing housing-related nuisance or annoyance to any person”. </w:t>
      </w:r>
    </w:p>
    <w:p w14:paraId="2720787F" w14:textId="77777777" w:rsidR="00F25EDE" w:rsidRPr="003212AD" w:rsidRDefault="00F25EDE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>Examples of ASB</w:t>
      </w:r>
    </w:p>
    <w:p w14:paraId="23BB6BBE" w14:textId="77777777" w:rsidR="00F80889" w:rsidRPr="003212AD" w:rsidRDefault="00E21DD2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Not all behaviour that is reported will necessarily be considered </w:t>
      </w:r>
      <w:r w:rsidR="00E6328B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 xml:space="preserve">. </w:t>
      </w:r>
    </w:p>
    <w:p w14:paraId="68211610" w14:textId="77777777" w:rsidR="00F25EDE" w:rsidRPr="003212AD" w:rsidRDefault="00E21DD2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We expect tenants to show tolerance of their neighbours’ normal living activities.</w:t>
      </w:r>
      <w:r w:rsidR="00F80889" w:rsidRPr="003212AD">
        <w:rPr>
          <w:b w:val="0"/>
          <w:color w:val="000000" w:themeColor="text1"/>
        </w:rPr>
        <w:t xml:space="preserve"> The table below provides guidance on what we broadly consider to be examples of ASB and what we do not consider to be ASB: </w:t>
      </w:r>
    </w:p>
    <w:tbl>
      <w:tblPr>
        <w:tblStyle w:val="TableGrid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4264"/>
        <w:gridCol w:w="4290"/>
      </w:tblGrid>
      <w:tr w:rsidR="00F25EDE" w:rsidRPr="00AA3AF5" w14:paraId="7B56A1B0" w14:textId="77777777" w:rsidTr="000163AE">
        <w:trPr>
          <w:trHeight w:val="503"/>
        </w:trPr>
        <w:tc>
          <w:tcPr>
            <w:tcW w:w="4264" w:type="dxa"/>
          </w:tcPr>
          <w:p w14:paraId="58584CF0" w14:textId="77777777" w:rsidR="00F25EDE" w:rsidRPr="003212AD" w:rsidRDefault="00F25EDE" w:rsidP="00F25EDE">
            <w:pPr>
              <w:keepNext/>
              <w:keepLines/>
              <w:spacing w:before="200" w:after="200" w:line="276" w:lineRule="auto"/>
              <w:outlineLvl w:val="1"/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</w:pPr>
            <w:r w:rsidRPr="003212AD"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  <w:t>Examples of anti-social behaviour</w:t>
            </w:r>
          </w:p>
        </w:tc>
        <w:tc>
          <w:tcPr>
            <w:tcW w:w="4290" w:type="dxa"/>
          </w:tcPr>
          <w:p w14:paraId="4E8C66F5" w14:textId="77777777" w:rsidR="00F25EDE" w:rsidRPr="003212AD" w:rsidRDefault="00F25EDE" w:rsidP="00F25EDE">
            <w:pPr>
              <w:keepNext/>
              <w:keepLines/>
              <w:spacing w:before="200" w:after="200" w:line="276" w:lineRule="auto"/>
              <w:outlineLvl w:val="1"/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</w:pPr>
            <w:r w:rsidRPr="003212AD"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  <w:t xml:space="preserve">Examples of behaviour we do not consider to be anti-social </w:t>
            </w:r>
          </w:p>
        </w:tc>
      </w:tr>
      <w:tr w:rsidR="00F25EDE" w:rsidRPr="00AA3AF5" w14:paraId="7452FD85" w14:textId="77777777" w:rsidTr="000163AE">
        <w:trPr>
          <w:trHeight w:val="1646"/>
        </w:trPr>
        <w:tc>
          <w:tcPr>
            <w:tcW w:w="4264" w:type="dxa"/>
          </w:tcPr>
          <w:p w14:paraId="4585D13A" w14:textId="77777777" w:rsidR="00F25EDE" w:rsidRPr="003212AD" w:rsidRDefault="00F25EDE" w:rsidP="00F25EDE">
            <w:pPr>
              <w:keepNext/>
              <w:keepLines/>
              <w:spacing w:before="200" w:after="200" w:line="276" w:lineRule="auto"/>
              <w:outlineLvl w:val="1"/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</w:pPr>
            <w:r w:rsidRPr="003212AD"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  <w:t>Damage to property, fly tipping, littering, violence or threats of violence, abusive behaviour and abuse of staff, criminal activity and excessive noise</w:t>
            </w:r>
          </w:p>
        </w:tc>
        <w:tc>
          <w:tcPr>
            <w:tcW w:w="4290" w:type="dxa"/>
          </w:tcPr>
          <w:p w14:paraId="39B87450" w14:textId="77777777" w:rsidR="00F25EDE" w:rsidRPr="003212AD" w:rsidRDefault="00F25EDE" w:rsidP="00F25EDE">
            <w:pPr>
              <w:keepNext/>
              <w:keepLines/>
              <w:spacing w:before="200" w:after="200" w:line="276" w:lineRule="auto"/>
              <w:outlineLvl w:val="1"/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</w:pPr>
            <w:r w:rsidRPr="003212AD">
              <w:rPr>
                <w:rFonts w:asciiTheme="majorHAnsi" w:eastAsiaTheme="majorEastAsia" w:hAnsiTheme="majorHAnsi" w:cs="Arial"/>
                <w:bCs/>
                <w:color w:val="000000" w:themeColor="text1"/>
                <w:sz w:val="20"/>
                <w:szCs w:val="20"/>
              </w:rPr>
              <w:t xml:space="preserve">Children playing (unless in areas where this is not allowed), normal household sounds (cleaning, footsteps, door closing), smoke and cooking smells, DIY; a private one-off party or BBQ (having informed neighbours in advance), instrumental music practise during acceptable hours. </w:t>
            </w:r>
          </w:p>
        </w:tc>
      </w:tr>
    </w:tbl>
    <w:p w14:paraId="2ED4DD11" w14:textId="77777777" w:rsidR="00915E58" w:rsidRPr="003212AD" w:rsidRDefault="00915E58" w:rsidP="003212AD">
      <w:pPr>
        <w:pStyle w:val="Heading3"/>
        <w:spacing w:after="240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lastRenderedPageBreak/>
        <w:t xml:space="preserve">We accept that some of these activities where repeated or extreme could be considered </w:t>
      </w:r>
      <w:r w:rsidR="002E3C99">
        <w:rPr>
          <w:b w:val="0"/>
          <w:color w:val="000000" w:themeColor="text1"/>
        </w:rPr>
        <w:t xml:space="preserve">to be </w:t>
      </w:r>
      <w:r w:rsidR="00E6328B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 xml:space="preserve"> and each case will be assessed on its own merits. </w:t>
      </w:r>
    </w:p>
    <w:p w14:paraId="3731917E" w14:textId="77777777" w:rsidR="00EF4C5D" w:rsidRPr="003212AD" w:rsidRDefault="004422FB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>Our approach to ASB</w:t>
      </w:r>
    </w:p>
    <w:p w14:paraId="03A77115" w14:textId="77777777" w:rsidR="001B101C" w:rsidRPr="003212AD" w:rsidRDefault="003E2E0D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We will adopt a positive attitude to </w:t>
      </w:r>
      <w:r w:rsidR="00E875F4" w:rsidRPr="003212AD">
        <w:rPr>
          <w:b w:val="0"/>
          <w:color w:val="000000" w:themeColor="text1"/>
        </w:rPr>
        <w:t xml:space="preserve">reports of </w:t>
      </w:r>
      <w:r w:rsidRPr="003212AD">
        <w:rPr>
          <w:b w:val="0"/>
          <w:color w:val="000000" w:themeColor="text1"/>
        </w:rPr>
        <w:t>ASB, but will only take action if there is sufficient evidence</w:t>
      </w:r>
      <w:r w:rsidR="00506394">
        <w:rPr>
          <w:b w:val="0"/>
          <w:color w:val="000000" w:themeColor="text1"/>
        </w:rPr>
        <w:t xml:space="preserve">. </w:t>
      </w:r>
      <w:r w:rsidR="00506394" w:rsidRPr="003212AD">
        <w:rPr>
          <w:b w:val="0"/>
          <w:i/>
          <w:color w:val="000000" w:themeColor="text1"/>
        </w:rPr>
        <w:t xml:space="preserve">Refer to </w:t>
      </w:r>
      <w:r w:rsidR="00506394" w:rsidRPr="003212AD">
        <w:rPr>
          <w:b w:val="0"/>
          <w:i/>
          <w:color w:val="000000" w:themeColor="text1"/>
        </w:rPr>
        <w:fldChar w:fldCharType="begin"/>
      </w:r>
      <w:r w:rsidR="00506394" w:rsidRPr="003212AD">
        <w:rPr>
          <w:b w:val="0"/>
          <w:i/>
          <w:color w:val="000000" w:themeColor="text1"/>
        </w:rPr>
        <w:instrText xml:space="preserve"> REF _Ref39129883 \r \h </w:instrText>
      </w:r>
      <w:r w:rsidR="00506394">
        <w:rPr>
          <w:b w:val="0"/>
          <w:i/>
          <w:color w:val="000000" w:themeColor="text1"/>
        </w:rPr>
        <w:instrText xml:space="preserve"> \* MERGEFORMAT </w:instrText>
      </w:r>
      <w:r w:rsidR="00506394" w:rsidRPr="003212AD">
        <w:rPr>
          <w:b w:val="0"/>
          <w:i/>
          <w:color w:val="000000" w:themeColor="text1"/>
        </w:rPr>
      </w:r>
      <w:r w:rsidR="00506394" w:rsidRPr="003212AD">
        <w:rPr>
          <w:b w:val="0"/>
          <w:i/>
          <w:color w:val="000000" w:themeColor="text1"/>
        </w:rPr>
        <w:fldChar w:fldCharType="separate"/>
      </w:r>
      <w:r w:rsidR="00506394" w:rsidRPr="003212AD">
        <w:rPr>
          <w:b w:val="0"/>
          <w:i/>
          <w:color w:val="000000" w:themeColor="text1"/>
        </w:rPr>
        <w:t>7</w:t>
      </w:r>
      <w:r w:rsidR="00506394" w:rsidRPr="003212AD">
        <w:rPr>
          <w:b w:val="0"/>
          <w:i/>
          <w:color w:val="000000" w:themeColor="text1"/>
        </w:rPr>
        <w:fldChar w:fldCharType="end"/>
      </w:r>
      <w:r w:rsidR="00506394" w:rsidRPr="003212AD">
        <w:rPr>
          <w:b w:val="0"/>
          <w:i/>
          <w:color w:val="000000" w:themeColor="text1"/>
        </w:rPr>
        <w:t xml:space="preserve"> for further information</w:t>
      </w:r>
      <w:r w:rsidR="00506394">
        <w:rPr>
          <w:b w:val="0"/>
          <w:color w:val="000000" w:themeColor="text1"/>
        </w:rPr>
        <w:t xml:space="preserve">. </w:t>
      </w:r>
    </w:p>
    <w:p w14:paraId="49A9F218" w14:textId="77777777" w:rsidR="00EF4C5D" w:rsidRPr="003212AD" w:rsidRDefault="003E2E0D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We will work in partnership with other agencies to support any actions they take </w:t>
      </w:r>
      <w:r w:rsidR="00AA3AF5" w:rsidRPr="003212AD">
        <w:rPr>
          <w:b w:val="0"/>
          <w:color w:val="000000" w:themeColor="text1"/>
        </w:rPr>
        <w:t>and will assess whether cases can be reviewed through the ‘Community Trigger’</w:t>
      </w:r>
      <w:r w:rsidR="00E6328B">
        <w:rPr>
          <w:b w:val="0"/>
          <w:color w:val="000000" w:themeColor="text1"/>
        </w:rPr>
        <w:t xml:space="preserve"> process.</w:t>
      </w:r>
    </w:p>
    <w:p w14:paraId="17B956CB" w14:textId="5A8E7E66" w:rsidR="002B7462" w:rsidRPr="003212AD" w:rsidRDefault="002B7462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We will not disclose the victim’s name to the perpetrator without the </w:t>
      </w:r>
      <w:r w:rsidR="00971D7A" w:rsidRPr="003212AD">
        <w:rPr>
          <w:b w:val="0"/>
          <w:color w:val="000000" w:themeColor="text1"/>
        </w:rPr>
        <w:t>victim</w:t>
      </w:r>
      <w:r w:rsidR="00381430">
        <w:rPr>
          <w:b w:val="0"/>
          <w:color w:val="000000" w:themeColor="text1"/>
        </w:rPr>
        <w:t>’</w:t>
      </w:r>
      <w:r w:rsidR="00971D7A" w:rsidRPr="003212AD">
        <w:rPr>
          <w:b w:val="0"/>
          <w:color w:val="000000" w:themeColor="text1"/>
        </w:rPr>
        <w:t>s</w:t>
      </w:r>
      <w:r w:rsidRPr="003212AD">
        <w:rPr>
          <w:b w:val="0"/>
          <w:color w:val="000000" w:themeColor="text1"/>
        </w:rPr>
        <w:t xml:space="preserve"> permission. </w:t>
      </w:r>
    </w:p>
    <w:p w14:paraId="3C435594" w14:textId="27940272" w:rsidR="00215F54" w:rsidRPr="003212AD" w:rsidRDefault="00215F54" w:rsidP="003212AD">
      <w:pPr>
        <w:pStyle w:val="Heading3"/>
        <w:spacing w:after="240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We will provide training</w:t>
      </w:r>
      <w:r w:rsidR="00944E95">
        <w:rPr>
          <w:b w:val="0"/>
          <w:color w:val="000000" w:themeColor="text1"/>
        </w:rPr>
        <w:t xml:space="preserve"> </w:t>
      </w:r>
      <w:r w:rsidRPr="003212AD">
        <w:rPr>
          <w:b w:val="0"/>
          <w:color w:val="000000" w:themeColor="text1"/>
        </w:rPr>
        <w:t>and refresher trainin</w:t>
      </w:r>
      <w:r w:rsidR="00944E95">
        <w:rPr>
          <w:b w:val="0"/>
          <w:color w:val="000000" w:themeColor="text1"/>
        </w:rPr>
        <w:t>g</w:t>
      </w:r>
      <w:r w:rsidRPr="003212AD">
        <w:rPr>
          <w:b w:val="0"/>
          <w:color w:val="000000" w:themeColor="text1"/>
        </w:rPr>
        <w:t xml:space="preserve"> for our staff.</w:t>
      </w:r>
    </w:p>
    <w:p w14:paraId="7E36F291" w14:textId="77777777" w:rsidR="00F01458" w:rsidRPr="003212AD" w:rsidRDefault="00F01458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 xml:space="preserve">Prevention and early intervention </w:t>
      </w:r>
    </w:p>
    <w:p w14:paraId="1D04A2C8" w14:textId="77777777" w:rsidR="000A47F2" w:rsidRPr="003212AD" w:rsidRDefault="000A47F2" w:rsidP="003212AD">
      <w:pPr>
        <w:pStyle w:val="Heading3"/>
        <w:rPr>
          <w:b w:val="0"/>
          <w:i/>
          <w:color w:val="000000" w:themeColor="text1"/>
        </w:rPr>
      </w:pPr>
      <w:r w:rsidRPr="003212AD">
        <w:rPr>
          <w:b w:val="0"/>
          <w:color w:val="000000" w:themeColor="text1"/>
        </w:rPr>
        <w:t>We will engage in a range of preventative actions</w:t>
      </w:r>
      <w:r w:rsidR="00E6328B">
        <w:rPr>
          <w:b w:val="0"/>
          <w:color w:val="000000" w:themeColor="text1"/>
        </w:rPr>
        <w:t xml:space="preserve"> such </w:t>
      </w:r>
      <w:proofErr w:type="gramStart"/>
      <w:r w:rsidR="00E6328B">
        <w:rPr>
          <w:b w:val="0"/>
          <w:color w:val="000000" w:themeColor="text1"/>
        </w:rPr>
        <w:t xml:space="preserve">as </w:t>
      </w:r>
      <w:r w:rsidRPr="003212AD">
        <w:rPr>
          <w:b w:val="0"/>
          <w:color w:val="000000" w:themeColor="text1"/>
        </w:rPr>
        <w:t>:</w:t>
      </w:r>
      <w:proofErr w:type="gramEnd"/>
    </w:p>
    <w:p w14:paraId="55E5A11B" w14:textId="77777777" w:rsidR="000A47F2" w:rsidRPr="003212AD" w:rsidRDefault="000A47F2" w:rsidP="003212AD">
      <w:pPr>
        <w:pStyle w:val="Heading3"/>
        <w:numPr>
          <w:ilvl w:val="0"/>
          <w:numId w:val="65"/>
        </w:numPr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>Considering the design of estates and accommodation</w:t>
      </w:r>
    </w:p>
    <w:p w14:paraId="65626977" w14:textId="77777777" w:rsidR="000A47F2" w:rsidRPr="003212AD" w:rsidRDefault="000A47F2" w:rsidP="003212AD">
      <w:pPr>
        <w:pStyle w:val="Heading3"/>
        <w:numPr>
          <w:ilvl w:val="0"/>
          <w:numId w:val="65"/>
        </w:numPr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>Conducting pre-tenancy work</w:t>
      </w:r>
    </w:p>
    <w:p w14:paraId="0B74E036" w14:textId="77777777" w:rsidR="000A47F2" w:rsidRPr="003212AD" w:rsidRDefault="000A47F2" w:rsidP="003212AD">
      <w:pPr>
        <w:pStyle w:val="Heading3"/>
        <w:numPr>
          <w:ilvl w:val="0"/>
          <w:numId w:val="65"/>
        </w:numPr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Using the sign-up process </w:t>
      </w:r>
      <w:r w:rsidR="00A73A19" w:rsidRPr="003212AD">
        <w:rPr>
          <w:b w:val="0"/>
          <w:color w:val="000000" w:themeColor="text1"/>
        </w:rPr>
        <w:t>and Good</w:t>
      </w:r>
      <w:r w:rsidRPr="003212AD">
        <w:rPr>
          <w:b w:val="0"/>
          <w:color w:val="000000" w:themeColor="text1"/>
        </w:rPr>
        <w:t xml:space="preserve"> Neighbour Agreements</w:t>
      </w:r>
    </w:p>
    <w:p w14:paraId="1DCA3343" w14:textId="77777777" w:rsidR="000A47F2" w:rsidRPr="003212AD" w:rsidRDefault="000A47F2" w:rsidP="003212AD">
      <w:pPr>
        <w:pStyle w:val="Heading3"/>
        <w:numPr>
          <w:ilvl w:val="0"/>
          <w:numId w:val="65"/>
        </w:numPr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>Involving Estate Champions and other residents</w:t>
      </w:r>
    </w:p>
    <w:p w14:paraId="711D5B4B" w14:textId="77777777" w:rsidR="00F651A7" w:rsidRPr="003212AD" w:rsidRDefault="000A47F2" w:rsidP="003212AD">
      <w:pPr>
        <w:pStyle w:val="Heading3"/>
        <w:numPr>
          <w:ilvl w:val="0"/>
          <w:numId w:val="65"/>
        </w:numPr>
        <w:spacing w:after="240"/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>Carrying out estate improvements and community investment activities</w:t>
      </w:r>
    </w:p>
    <w:p w14:paraId="0E4430CE" w14:textId="77777777" w:rsidR="00F651A7" w:rsidRPr="003212AD" w:rsidRDefault="00F651A7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>Dealing with an ASB report</w:t>
      </w:r>
    </w:p>
    <w:p w14:paraId="6910F951" w14:textId="1BA7C532" w:rsidR="00944E95" w:rsidRDefault="00944E95" w:rsidP="00F651A7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We will accept reports of ASB through various means such as phone calls, letters</w:t>
      </w:r>
      <w:r w:rsidR="00D07956">
        <w:rPr>
          <w:b w:val="0"/>
          <w:color w:val="000000" w:themeColor="text1"/>
        </w:rPr>
        <w:t xml:space="preserve">, </w:t>
      </w:r>
      <w:proofErr w:type="gramStart"/>
      <w:r w:rsidR="00D07956">
        <w:rPr>
          <w:b w:val="0"/>
          <w:color w:val="000000" w:themeColor="text1"/>
        </w:rPr>
        <w:t>on line</w:t>
      </w:r>
      <w:proofErr w:type="gramEnd"/>
      <w:r w:rsidRPr="003212AD">
        <w:rPr>
          <w:b w:val="0"/>
          <w:color w:val="000000" w:themeColor="text1"/>
        </w:rPr>
        <w:t xml:space="preserve"> or conversations with Hexagon staff</w:t>
      </w:r>
      <w:r>
        <w:rPr>
          <w:b w:val="0"/>
          <w:color w:val="000000" w:themeColor="text1"/>
        </w:rPr>
        <w:t xml:space="preserve">. </w:t>
      </w:r>
    </w:p>
    <w:p w14:paraId="4B399841" w14:textId="77777777" w:rsidR="00F651A7" w:rsidRPr="003212AD" w:rsidRDefault="00F651A7" w:rsidP="00F651A7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We will investigate reports of activities that may be </w:t>
      </w:r>
      <w:r w:rsidR="003D09BE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>. Initial actions will take place between 24 hours and 10 days of the first report, depending on the</w:t>
      </w:r>
      <w:r w:rsidR="007217E7">
        <w:rPr>
          <w:b w:val="0"/>
          <w:color w:val="000000" w:themeColor="text1"/>
        </w:rPr>
        <w:t xml:space="preserve"> outcome of </w:t>
      </w:r>
      <w:r w:rsidR="00E6328B">
        <w:rPr>
          <w:b w:val="0"/>
          <w:color w:val="000000" w:themeColor="text1"/>
        </w:rPr>
        <w:t xml:space="preserve">the risk assessment. </w:t>
      </w:r>
    </w:p>
    <w:p w14:paraId="7B92CACE" w14:textId="2143C85A" w:rsidR="00C5747A" w:rsidRPr="003212AD" w:rsidRDefault="00F651A7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We</w:t>
      </w:r>
      <w:r w:rsidR="00C5747A" w:rsidRPr="003212AD">
        <w:rPr>
          <w:b w:val="0"/>
          <w:color w:val="000000" w:themeColor="text1"/>
        </w:rPr>
        <w:t xml:space="preserve"> aim to be transparent and clear with residents. We will develop agreed upon action plans with residents and provide </w:t>
      </w:r>
      <w:r w:rsidR="00D07956">
        <w:rPr>
          <w:b w:val="0"/>
          <w:color w:val="000000" w:themeColor="text1"/>
        </w:rPr>
        <w:t xml:space="preserve">regular </w:t>
      </w:r>
      <w:r w:rsidR="00C5747A" w:rsidRPr="003212AD">
        <w:rPr>
          <w:b w:val="0"/>
          <w:color w:val="000000" w:themeColor="text1"/>
        </w:rPr>
        <w:t>feedback as per the action plans.</w:t>
      </w:r>
    </w:p>
    <w:p w14:paraId="497B2ED5" w14:textId="77777777" w:rsidR="00C5747A" w:rsidRDefault="00C5747A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Where necessary</w:t>
      </w:r>
      <w:r w:rsidR="00E6328B" w:rsidRPr="00F00FD0">
        <w:rPr>
          <w:b w:val="0"/>
          <w:color w:val="000000" w:themeColor="text1"/>
        </w:rPr>
        <w:t xml:space="preserve"> and appropriate</w:t>
      </w:r>
      <w:r w:rsidRPr="003212AD">
        <w:rPr>
          <w:b w:val="0"/>
          <w:color w:val="000000" w:themeColor="text1"/>
        </w:rPr>
        <w:t xml:space="preserve"> we will put residents in touch with Victim Support or other agencies that provide support</w:t>
      </w:r>
      <w:r w:rsidR="00E6328B">
        <w:rPr>
          <w:b w:val="0"/>
          <w:color w:val="000000" w:themeColor="text1"/>
        </w:rPr>
        <w:t>,</w:t>
      </w:r>
      <w:r w:rsidR="00EC1FEA">
        <w:rPr>
          <w:b w:val="0"/>
          <w:color w:val="000000" w:themeColor="text1"/>
        </w:rPr>
        <w:t xml:space="preserve"> including the police. </w:t>
      </w:r>
    </w:p>
    <w:p w14:paraId="15C06DBC" w14:textId="7D13F5B1" w:rsidR="00D232FE" w:rsidRPr="003212AD" w:rsidRDefault="00D232FE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 xml:space="preserve">In instances where residents agree to act as witnesses </w:t>
      </w:r>
      <w:r w:rsidR="00AF43EF">
        <w:rPr>
          <w:b w:val="0"/>
          <w:color w:val="000000" w:themeColor="text1"/>
        </w:rPr>
        <w:t>(i.e</w:t>
      </w:r>
      <w:r w:rsidR="008F3A8C">
        <w:rPr>
          <w:b w:val="0"/>
          <w:color w:val="000000" w:themeColor="text1"/>
        </w:rPr>
        <w:t xml:space="preserve">. in a court case) we will explore </w:t>
      </w:r>
      <w:r w:rsidR="002E3C99">
        <w:rPr>
          <w:b w:val="0"/>
          <w:color w:val="000000" w:themeColor="text1"/>
        </w:rPr>
        <w:t xml:space="preserve">a </w:t>
      </w:r>
      <w:r w:rsidR="00EC1FEA">
        <w:rPr>
          <w:b w:val="0"/>
          <w:color w:val="000000" w:themeColor="text1"/>
        </w:rPr>
        <w:t xml:space="preserve">range of support such as taxi arrangements and reimbursement of childcare costs.  </w:t>
      </w:r>
    </w:p>
    <w:p w14:paraId="123E7C4C" w14:textId="77777777" w:rsidR="00506394" w:rsidRPr="003212AD" w:rsidRDefault="00506394" w:rsidP="003212AD">
      <w:pPr>
        <w:pStyle w:val="Heading3"/>
        <w:numPr>
          <w:ilvl w:val="0"/>
          <w:numId w:val="0"/>
        </w:numPr>
      </w:pPr>
    </w:p>
    <w:p w14:paraId="02332F87" w14:textId="77777777" w:rsidR="004F2DBE" w:rsidRPr="003212AD" w:rsidRDefault="004F2DBE" w:rsidP="003212AD">
      <w:pPr>
        <w:pStyle w:val="Heading1"/>
        <w:spacing w:before="0"/>
        <w:rPr>
          <w:b w:val="0"/>
          <w:bCs w:val="0"/>
          <w:color w:val="000000" w:themeColor="text1"/>
          <w:sz w:val="36"/>
          <w:szCs w:val="36"/>
        </w:rPr>
      </w:pPr>
      <w:bookmarkStart w:id="0" w:name="_Ref39129883"/>
      <w:r w:rsidRPr="003212AD">
        <w:rPr>
          <w:color w:val="000000" w:themeColor="text1"/>
          <w:sz w:val="36"/>
          <w:szCs w:val="36"/>
        </w:rPr>
        <w:lastRenderedPageBreak/>
        <w:t>Collecting evidence</w:t>
      </w:r>
      <w:bookmarkEnd w:id="0"/>
      <w:r w:rsidRPr="003212AD">
        <w:rPr>
          <w:color w:val="000000" w:themeColor="text1"/>
          <w:sz w:val="36"/>
          <w:szCs w:val="36"/>
        </w:rPr>
        <w:t xml:space="preserve"> </w:t>
      </w:r>
    </w:p>
    <w:p w14:paraId="00B2FF33" w14:textId="77777777" w:rsidR="004F2DBE" w:rsidRPr="003212AD" w:rsidRDefault="004F2DBE" w:rsidP="003212AD">
      <w:pPr>
        <w:pStyle w:val="Heading3"/>
        <w:rPr>
          <w:bCs w:val="0"/>
          <w:color w:val="000000" w:themeColor="text1"/>
        </w:rPr>
      </w:pPr>
      <w:r w:rsidRPr="003212AD">
        <w:rPr>
          <w:b w:val="0"/>
          <w:color w:val="000000" w:themeColor="text1"/>
        </w:rPr>
        <w:t>Allegations of ASB are often disput</w:t>
      </w:r>
      <w:r w:rsidR="002E3C99" w:rsidRPr="003212AD">
        <w:rPr>
          <w:b w:val="0"/>
          <w:color w:val="000000" w:themeColor="text1"/>
        </w:rPr>
        <w:t>ed and before taking any action</w:t>
      </w:r>
      <w:r w:rsidRPr="003212AD">
        <w:rPr>
          <w:b w:val="0"/>
          <w:color w:val="000000" w:themeColor="text1"/>
        </w:rPr>
        <w:t xml:space="preserve"> we will gather sufficient evidence. The table below outlines the types of evidence that we will accept:</w:t>
      </w:r>
    </w:p>
    <w:p w14:paraId="6DF500FF" w14:textId="77777777" w:rsidR="004F2DBE" w:rsidRPr="004F2DBE" w:rsidRDefault="004F2DBE" w:rsidP="004F2DBE">
      <w:pPr>
        <w:spacing w:after="0"/>
      </w:pPr>
    </w:p>
    <w:tbl>
      <w:tblPr>
        <w:tblStyle w:val="TableGrid"/>
        <w:tblW w:w="9112" w:type="dxa"/>
        <w:tblInd w:w="555" w:type="dxa"/>
        <w:tblLook w:val="04A0" w:firstRow="1" w:lastRow="0" w:firstColumn="1" w:lastColumn="0" w:noHBand="0" w:noVBand="1"/>
      </w:tblPr>
      <w:tblGrid>
        <w:gridCol w:w="4556"/>
        <w:gridCol w:w="4556"/>
      </w:tblGrid>
      <w:tr w:rsidR="004F2DBE" w:rsidRPr="004F2DBE" w14:paraId="0B8F3A8C" w14:textId="77777777" w:rsidTr="004F2DBE">
        <w:trPr>
          <w:trHeight w:val="228"/>
        </w:trPr>
        <w:tc>
          <w:tcPr>
            <w:tcW w:w="4556" w:type="dxa"/>
          </w:tcPr>
          <w:p w14:paraId="6B3433AF" w14:textId="77777777" w:rsidR="004F2DBE" w:rsidRPr="004F2DBE" w:rsidRDefault="004F2DBE" w:rsidP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F2DBE">
              <w:rPr>
                <w:rFonts w:asciiTheme="majorHAnsi" w:hAnsiTheme="majorHAnsi" w:cs="Arial"/>
                <w:sz w:val="20"/>
                <w:szCs w:val="20"/>
              </w:rPr>
              <w:t xml:space="preserve">Evidence </w:t>
            </w:r>
          </w:p>
        </w:tc>
        <w:tc>
          <w:tcPr>
            <w:tcW w:w="4556" w:type="dxa"/>
          </w:tcPr>
          <w:p w14:paraId="4CAFB3BD" w14:textId="77777777" w:rsidR="004F2DBE" w:rsidRPr="004F2DBE" w:rsidRDefault="004F2DBE" w:rsidP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2DBE" w:rsidRPr="004F2DBE" w14:paraId="18BAB02A" w14:textId="77777777" w:rsidTr="004F2DBE">
        <w:trPr>
          <w:trHeight w:val="685"/>
        </w:trPr>
        <w:tc>
          <w:tcPr>
            <w:tcW w:w="4556" w:type="dxa"/>
          </w:tcPr>
          <w:p w14:paraId="10C5BB05" w14:textId="77777777" w:rsidR="004F2DBE" w:rsidRPr="004F2DBE" w:rsidRDefault="004F2DBE" w:rsidP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F2DBE">
              <w:rPr>
                <w:rFonts w:asciiTheme="majorHAnsi" w:hAnsiTheme="majorHAnsi" w:cs="Arial"/>
                <w:sz w:val="20"/>
                <w:szCs w:val="20"/>
              </w:rPr>
              <w:t>Diary sheets</w:t>
            </w:r>
          </w:p>
        </w:tc>
        <w:tc>
          <w:tcPr>
            <w:tcW w:w="4556" w:type="dxa"/>
          </w:tcPr>
          <w:p w14:paraId="0CA45E1A" w14:textId="77777777" w:rsidR="004F2DBE" w:rsidRPr="004F2DBE" w:rsidRDefault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F43EF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Residents may be asked to complete diary sheets so that more precise details of the behaviour can be recorded</w:t>
            </w:r>
            <w:r w:rsidR="00AF43EF" w:rsidRPr="003212AD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. Residents are also able to send their updated diary sheets via email. </w:t>
            </w:r>
            <w:r w:rsidR="00734549" w:rsidRPr="00AF43EF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4F2DBE" w:rsidRPr="004F2DBE" w14:paraId="19C59E44" w14:textId="77777777" w:rsidTr="004F2DBE">
        <w:trPr>
          <w:trHeight w:val="932"/>
        </w:trPr>
        <w:tc>
          <w:tcPr>
            <w:tcW w:w="4556" w:type="dxa"/>
          </w:tcPr>
          <w:p w14:paraId="4D04EEE2" w14:textId="77777777" w:rsidR="004F2DBE" w:rsidRPr="004F2DBE" w:rsidRDefault="004F2DBE" w:rsidP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F2DBE">
              <w:rPr>
                <w:rFonts w:asciiTheme="majorHAnsi" w:hAnsiTheme="majorHAnsi" w:cs="Arial"/>
                <w:sz w:val="20"/>
                <w:szCs w:val="20"/>
              </w:rPr>
              <w:t>Noise nuisance</w:t>
            </w:r>
          </w:p>
        </w:tc>
        <w:tc>
          <w:tcPr>
            <w:tcW w:w="4556" w:type="dxa"/>
          </w:tcPr>
          <w:p w14:paraId="514D33B6" w14:textId="6F32FF6D" w:rsidR="004F2DBE" w:rsidRPr="004F2DBE" w:rsidRDefault="004F2DBE" w:rsidP="003212AD">
            <w:pPr>
              <w:spacing w:after="20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61A1F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A noise nuisance recorder may be installed in a </w:t>
            </w:r>
            <w:r w:rsidR="00E6328B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resident</w:t>
            </w:r>
            <w:r w:rsidR="009A6736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’</w:t>
            </w:r>
            <w:r w:rsidR="00E6328B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s</w:t>
            </w:r>
            <w:r w:rsidRPr="00661A1F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 home for a short period so that the frequency and level of disturbance can be accurately recorded.</w:t>
            </w:r>
            <w:r w:rsidR="008A292F" w:rsidRPr="00661A1F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 </w:t>
            </w:r>
            <w:r w:rsidR="00661A1F" w:rsidRPr="003212AD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Residents will be asked to download a noise app, providing they own a smart phone.</w:t>
            </w:r>
            <w:r w:rsidR="00661A1F">
              <w:rPr>
                <w:rFonts w:asciiTheme="majorHAnsi" w:eastAsiaTheme="majorEastAsia" w:hAnsiTheme="majorHAnsi" w:cs="Arial"/>
                <w:bCs/>
                <w:sz w:val="20"/>
                <w:szCs w:val="20"/>
                <w:highlight w:val="yellow"/>
              </w:rPr>
              <w:t xml:space="preserve"> </w:t>
            </w:r>
            <w:r w:rsidR="008A292F" w:rsidRPr="003212AD">
              <w:rPr>
                <w:rFonts w:asciiTheme="majorHAnsi" w:eastAsiaTheme="majorEastAsia" w:hAnsiTheme="majorHAnsi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F2DBE" w:rsidRPr="004F2DBE" w14:paraId="16042840" w14:textId="77777777" w:rsidTr="003212AD">
        <w:trPr>
          <w:trHeight w:val="2034"/>
        </w:trPr>
        <w:tc>
          <w:tcPr>
            <w:tcW w:w="4556" w:type="dxa"/>
          </w:tcPr>
          <w:p w14:paraId="4D5565AD" w14:textId="77777777" w:rsidR="004F2DBE" w:rsidRPr="004F2DBE" w:rsidRDefault="00661A1F" w:rsidP="004F2DBE">
            <w:p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Other evidence</w:t>
            </w:r>
          </w:p>
          <w:p w14:paraId="602A88EB" w14:textId="77777777" w:rsidR="004F2DBE" w:rsidRPr="00661A1F" w:rsidRDefault="00661A1F" w:rsidP="003212AD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E</w:t>
            </w:r>
            <w:r w:rsidR="004F2DBE" w:rsidRPr="004F2DBE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vidence provided by residents</w:t>
            </w:r>
          </w:p>
          <w:p w14:paraId="5AD38EDD" w14:textId="77777777" w:rsidR="00661A1F" w:rsidRDefault="00661A1F" w:rsidP="004F2DBE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Evidence gathered from liaising with partners such as the police and local authorities. </w:t>
            </w:r>
          </w:p>
          <w:p w14:paraId="011C98EB" w14:textId="77777777" w:rsidR="008A292F" w:rsidRPr="00661A1F" w:rsidRDefault="004F2DBE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  <w:r w:rsidRPr="004F2DBE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Other sources of evidence</w:t>
            </w:r>
          </w:p>
        </w:tc>
        <w:tc>
          <w:tcPr>
            <w:tcW w:w="4556" w:type="dxa"/>
          </w:tcPr>
          <w:p w14:paraId="412320AD" w14:textId="77777777" w:rsidR="004F2DBE" w:rsidRPr="004F2DBE" w:rsidRDefault="004F2DBE" w:rsidP="003212AD">
            <w:p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</w:p>
          <w:p w14:paraId="7BA95441" w14:textId="77777777" w:rsidR="004F2DBE" w:rsidRPr="00661A1F" w:rsidRDefault="004F2DBE" w:rsidP="003212A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  <w:r w:rsidRPr="004F2DBE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 xml:space="preserve">We will also review other records such as video and sound recordings or photographs made by residents.  </w:t>
            </w:r>
          </w:p>
          <w:p w14:paraId="2A122AE4" w14:textId="77777777" w:rsidR="004F2DBE" w:rsidRPr="003212AD" w:rsidRDefault="004F2DBE" w:rsidP="003212A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</w:pPr>
            <w:r w:rsidRPr="004F2DBE">
              <w:rPr>
                <w:rFonts w:asciiTheme="majorHAnsi" w:eastAsiaTheme="majorEastAsia" w:hAnsiTheme="majorHAnsi" w:cs="Arial"/>
                <w:bCs/>
                <w:sz w:val="20"/>
                <w:szCs w:val="20"/>
              </w:rPr>
              <w:t>We may also investigate incidents by interviewing other residents or witnesses, by checking CCTV and by asking partner agencies for information.</w:t>
            </w:r>
          </w:p>
        </w:tc>
      </w:tr>
    </w:tbl>
    <w:p w14:paraId="3888D44D" w14:textId="77777777" w:rsidR="000A6D0F" w:rsidRDefault="004F2DBE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lastRenderedPageBreak/>
        <w:t xml:space="preserve">It may not be possible to take any formal enforcement action if there is a lack of sufficient and appropriate evidence. </w:t>
      </w:r>
    </w:p>
    <w:p w14:paraId="74455886" w14:textId="77777777" w:rsidR="000A6D0F" w:rsidRPr="003212AD" w:rsidRDefault="000A6D0F" w:rsidP="000A6D0F">
      <w:pPr>
        <w:pStyle w:val="Heading1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 xml:space="preserve">Risk Assessment and categories of risk </w:t>
      </w:r>
    </w:p>
    <w:p w14:paraId="2362029E" w14:textId="77777777" w:rsidR="000A6D0F" w:rsidRPr="00D30F9C" w:rsidRDefault="000A6D0F" w:rsidP="000A6D0F">
      <w:pPr>
        <w:pStyle w:val="Heading3"/>
        <w:rPr>
          <w:b w:val="0"/>
          <w:i/>
          <w:color w:val="000000" w:themeColor="text1"/>
        </w:rPr>
      </w:pPr>
      <w:r w:rsidRPr="00D30F9C">
        <w:rPr>
          <w:b w:val="0"/>
          <w:color w:val="000000" w:themeColor="text1"/>
        </w:rPr>
        <w:t xml:space="preserve">We </w:t>
      </w:r>
      <w:r w:rsidR="00A906D8">
        <w:rPr>
          <w:b w:val="0"/>
          <w:color w:val="000000" w:themeColor="text1"/>
        </w:rPr>
        <w:t xml:space="preserve">will </w:t>
      </w:r>
      <w:r w:rsidR="00A906D8" w:rsidRPr="00D30F9C">
        <w:rPr>
          <w:b w:val="0"/>
          <w:color w:val="000000" w:themeColor="text1"/>
        </w:rPr>
        <w:t>carry</w:t>
      </w:r>
      <w:r w:rsidR="00E6328B">
        <w:rPr>
          <w:b w:val="0"/>
          <w:color w:val="000000" w:themeColor="text1"/>
        </w:rPr>
        <w:t xml:space="preserve"> out a risk</w:t>
      </w:r>
      <w:r w:rsidRPr="00D30F9C">
        <w:rPr>
          <w:b w:val="0"/>
          <w:color w:val="000000" w:themeColor="text1"/>
        </w:rPr>
        <w:t xml:space="preserve"> assessment of the situation reported to us, </w:t>
      </w:r>
      <w:r>
        <w:rPr>
          <w:b w:val="0"/>
          <w:color w:val="000000" w:themeColor="text1"/>
        </w:rPr>
        <w:t>so that any</w:t>
      </w:r>
      <w:r w:rsidRPr="00D30F9C">
        <w:rPr>
          <w:b w:val="0"/>
          <w:color w:val="000000" w:themeColor="text1"/>
        </w:rPr>
        <w:t xml:space="preserve"> actions we take are propionate and measured. This will include an assessment of the nature of the incidents being reported and their impact on the victim, taking</w:t>
      </w:r>
      <w:r w:rsidR="00E6328B">
        <w:rPr>
          <w:b w:val="0"/>
          <w:color w:val="000000" w:themeColor="text1"/>
        </w:rPr>
        <w:t xml:space="preserve"> into account </w:t>
      </w:r>
      <w:r w:rsidR="00E6328B" w:rsidRPr="00D30F9C">
        <w:rPr>
          <w:b w:val="0"/>
          <w:color w:val="000000" w:themeColor="text1"/>
        </w:rPr>
        <w:t>any</w:t>
      </w:r>
      <w:r w:rsidRPr="00D30F9C">
        <w:rPr>
          <w:b w:val="0"/>
          <w:color w:val="000000" w:themeColor="text1"/>
        </w:rPr>
        <w:t xml:space="preserve"> issues which make the victim particularly vulnerable.</w:t>
      </w:r>
    </w:p>
    <w:p w14:paraId="020B3DA5" w14:textId="77777777" w:rsidR="000A6D0F" w:rsidRPr="00D30F9C" w:rsidRDefault="000A6D0F" w:rsidP="000A6D0F">
      <w:pPr>
        <w:pStyle w:val="Heading3"/>
        <w:rPr>
          <w:b w:val="0"/>
          <w:i/>
          <w:color w:val="000000" w:themeColor="text1"/>
        </w:rPr>
      </w:pPr>
      <w:r w:rsidRPr="00D30F9C">
        <w:rPr>
          <w:b w:val="0"/>
          <w:color w:val="000000" w:themeColor="text1"/>
        </w:rPr>
        <w:t xml:space="preserve"> A risk rating, starting from Category 1 (High Risk) to Category 3 (Low Risk cases) will determine what our response time will be</w:t>
      </w:r>
      <w:r w:rsidRPr="003212AD">
        <w:rPr>
          <w:b w:val="0"/>
          <w:i/>
          <w:color w:val="000000" w:themeColor="text1"/>
        </w:rPr>
        <w:t xml:space="preserve">. See </w:t>
      </w:r>
      <w:r w:rsidR="00E6328B" w:rsidRPr="003212AD">
        <w:rPr>
          <w:b w:val="0"/>
          <w:i/>
          <w:color w:val="000000" w:themeColor="text1"/>
        </w:rPr>
        <w:fldChar w:fldCharType="begin"/>
      </w:r>
      <w:r w:rsidR="00E6328B" w:rsidRPr="003212AD">
        <w:rPr>
          <w:b w:val="0"/>
          <w:i/>
          <w:color w:val="000000" w:themeColor="text1"/>
        </w:rPr>
        <w:instrText xml:space="preserve"> REF _Ref39163218 \h  \* MERGEFORMAT </w:instrText>
      </w:r>
      <w:r w:rsidR="00E6328B" w:rsidRPr="003212AD">
        <w:rPr>
          <w:b w:val="0"/>
          <w:i/>
          <w:color w:val="000000" w:themeColor="text1"/>
        </w:rPr>
      </w:r>
      <w:r w:rsidR="00E6328B" w:rsidRPr="003212AD">
        <w:rPr>
          <w:b w:val="0"/>
          <w:i/>
          <w:color w:val="000000" w:themeColor="text1"/>
        </w:rPr>
        <w:fldChar w:fldCharType="separate"/>
      </w:r>
      <w:r w:rsidR="00E6328B" w:rsidRPr="003212AD">
        <w:rPr>
          <w:b w:val="0"/>
          <w:i/>
          <w:color w:val="000000" w:themeColor="text1"/>
        </w:rPr>
        <w:t>Appendix 1 - Risk rating</w:t>
      </w:r>
      <w:r w:rsidR="00E6328B" w:rsidRPr="003212AD">
        <w:rPr>
          <w:b w:val="0"/>
          <w:i/>
          <w:color w:val="000000" w:themeColor="text1"/>
        </w:rPr>
        <w:fldChar w:fldCharType="end"/>
      </w:r>
      <w:r w:rsidR="00E6328B" w:rsidRPr="003212AD">
        <w:rPr>
          <w:b w:val="0"/>
          <w:i/>
          <w:color w:val="000000" w:themeColor="text1"/>
        </w:rPr>
        <w:t xml:space="preserve"> </w:t>
      </w:r>
      <w:r w:rsidRPr="003212AD">
        <w:rPr>
          <w:b w:val="0"/>
          <w:i/>
          <w:color w:val="000000" w:themeColor="text1"/>
        </w:rPr>
        <w:t>for a detailed breakdown of response times for each category of risk.</w:t>
      </w:r>
      <w:r w:rsidRPr="00D30F9C">
        <w:rPr>
          <w:b w:val="0"/>
          <w:color w:val="000000" w:themeColor="text1"/>
        </w:rPr>
        <w:t xml:space="preserve"> </w:t>
      </w:r>
    </w:p>
    <w:p w14:paraId="0448990B" w14:textId="77777777" w:rsidR="00E6328B" w:rsidRDefault="000A6D0F" w:rsidP="003212AD">
      <w:pPr>
        <w:pStyle w:val="Heading3"/>
        <w:rPr>
          <w:b w:val="0"/>
          <w:color w:val="000000" w:themeColor="text1"/>
        </w:rPr>
      </w:pPr>
      <w:r w:rsidRPr="00F00FD0">
        <w:rPr>
          <w:b w:val="0"/>
          <w:color w:val="000000" w:themeColor="text1"/>
        </w:rPr>
        <w:t>We will follow our Safeguarding Policy if there are safety concerns surrounding someone who is vulnerable</w:t>
      </w:r>
      <w:r w:rsidR="00B32AFF" w:rsidRPr="003212AD">
        <w:rPr>
          <w:b w:val="0"/>
          <w:color w:val="000000" w:themeColor="text1"/>
        </w:rPr>
        <w:t xml:space="preserve">. </w:t>
      </w:r>
      <w:r w:rsidR="00B32AFF" w:rsidRPr="003212AD">
        <w:rPr>
          <w:b w:val="0"/>
          <w:i/>
          <w:color w:val="000000" w:themeColor="text1"/>
        </w:rPr>
        <w:t xml:space="preserve">Refer to the </w:t>
      </w:r>
      <w:hyperlink r:id="rId9" w:history="1">
        <w:r w:rsidR="00B32AFF" w:rsidRPr="003212AD">
          <w:rPr>
            <w:i/>
            <w:color w:val="000000" w:themeColor="text1"/>
          </w:rPr>
          <w:t>Safeguarding policy</w:t>
        </w:r>
      </w:hyperlink>
      <w:r w:rsidR="00B32AFF" w:rsidRPr="003212AD">
        <w:rPr>
          <w:b w:val="0"/>
          <w:i/>
          <w:color w:val="000000" w:themeColor="text1"/>
        </w:rPr>
        <w:t xml:space="preserve"> for Hexagon’s definition of a vulnerable person.</w:t>
      </w:r>
      <w:r w:rsidR="00B32AFF" w:rsidRPr="003212AD">
        <w:rPr>
          <w:b w:val="0"/>
          <w:color w:val="000000" w:themeColor="text1"/>
        </w:rPr>
        <w:t xml:space="preserve"> </w:t>
      </w:r>
    </w:p>
    <w:p w14:paraId="7023F404" w14:textId="77777777" w:rsidR="00C4225C" w:rsidRPr="003212AD" w:rsidDel="00F651A7" w:rsidRDefault="00C4225C" w:rsidP="003212AD">
      <w:pPr>
        <w:pStyle w:val="Heading3"/>
        <w:numPr>
          <w:ilvl w:val="0"/>
          <w:numId w:val="0"/>
        </w:numPr>
        <w:ind w:left="720"/>
        <w:rPr>
          <w:b w:val="0"/>
          <w:color w:val="000000" w:themeColor="text1"/>
        </w:rPr>
      </w:pPr>
    </w:p>
    <w:p w14:paraId="2E55370E" w14:textId="77777777" w:rsidR="0050048C" w:rsidRPr="003212AD" w:rsidRDefault="0050048C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 w:rsidRPr="003212AD">
        <w:rPr>
          <w:color w:val="000000" w:themeColor="text1"/>
          <w:sz w:val="36"/>
          <w:szCs w:val="36"/>
        </w:rPr>
        <w:t xml:space="preserve">What we expect from residents </w:t>
      </w:r>
    </w:p>
    <w:p w14:paraId="162DD726" w14:textId="77777777" w:rsidR="0050048C" w:rsidRPr="003212AD" w:rsidRDefault="0050048C" w:rsidP="003212AD">
      <w:pPr>
        <w:pStyle w:val="Heading3"/>
        <w:rPr>
          <w:b w:val="0"/>
          <w:i/>
          <w:color w:val="000000" w:themeColor="text1"/>
        </w:rPr>
      </w:pPr>
      <w:r w:rsidRPr="003212AD">
        <w:rPr>
          <w:b w:val="0"/>
          <w:color w:val="000000" w:themeColor="text1"/>
        </w:rPr>
        <w:t xml:space="preserve">We expect residents to work in partnership with us to resolve </w:t>
      </w:r>
      <w:r w:rsidR="003D09BE">
        <w:rPr>
          <w:b w:val="0"/>
          <w:color w:val="000000" w:themeColor="text1"/>
        </w:rPr>
        <w:t>ASB</w:t>
      </w:r>
      <w:r w:rsidRPr="003212AD">
        <w:rPr>
          <w:b w:val="0"/>
          <w:color w:val="000000" w:themeColor="text1"/>
        </w:rPr>
        <w:t>.</w:t>
      </w:r>
    </w:p>
    <w:p w14:paraId="77A39615" w14:textId="77777777" w:rsidR="0050048C" w:rsidRDefault="0050048C" w:rsidP="003212AD">
      <w:pPr>
        <w:pStyle w:val="Heading3"/>
        <w:rPr>
          <w:b w:val="0"/>
          <w:color w:val="000000" w:themeColor="text1"/>
        </w:rPr>
      </w:pPr>
      <w:r w:rsidRPr="003212AD">
        <w:rPr>
          <w:b w:val="0"/>
          <w:color w:val="000000" w:themeColor="text1"/>
        </w:rPr>
        <w:t>We also expect residents to resolve any minor disputes with neighbours.  Subject to a risk assessment, we may explore proposing mediation with the perpetrator and victim of ASB.</w:t>
      </w:r>
    </w:p>
    <w:p w14:paraId="59C19631" w14:textId="77777777" w:rsidR="00C35326" w:rsidRPr="003212AD" w:rsidRDefault="00C35326" w:rsidP="003212AD">
      <w:pPr>
        <w:rPr>
          <w:b/>
        </w:rPr>
      </w:pPr>
    </w:p>
    <w:p w14:paraId="72ABCBA9" w14:textId="77777777" w:rsidR="00C35326" w:rsidRPr="00E1785A" w:rsidRDefault="00C35326" w:rsidP="00C35326">
      <w:pPr>
        <w:pStyle w:val="Heading1"/>
        <w:spacing w:before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Pr="00E1785A">
        <w:rPr>
          <w:color w:val="000000" w:themeColor="text1"/>
          <w:sz w:val="36"/>
          <w:szCs w:val="36"/>
        </w:rPr>
        <w:t>Legal Measures</w:t>
      </w:r>
    </w:p>
    <w:p w14:paraId="43B107E2" w14:textId="77777777" w:rsidR="00C35326" w:rsidRPr="007076C3" w:rsidRDefault="00C35326" w:rsidP="00C35326">
      <w:pPr>
        <w:pStyle w:val="Heading4"/>
        <w:rPr>
          <w:b w:val="0"/>
          <w:i w:val="0"/>
          <w:iCs w:val="0"/>
          <w:color w:val="000000" w:themeColor="text1"/>
        </w:rPr>
      </w:pPr>
      <w:r w:rsidRPr="008F475E">
        <w:rPr>
          <w:b w:val="0"/>
          <w:i w:val="0"/>
          <w:iCs w:val="0"/>
          <w:color w:val="000000" w:themeColor="text1"/>
        </w:rPr>
        <w:t xml:space="preserve">In many cases, other agencies may be better placed to take action to address </w:t>
      </w:r>
      <w:r w:rsidR="00E6328B">
        <w:rPr>
          <w:b w:val="0"/>
          <w:i w:val="0"/>
          <w:iCs w:val="0"/>
          <w:color w:val="000000" w:themeColor="text1"/>
        </w:rPr>
        <w:t>ASB</w:t>
      </w:r>
      <w:r w:rsidRPr="008F475E">
        <w:rPr>
          <w:b w:val="0"/>
          <w:i w:val="0"/>
          <w:iCs w:val="0"/>
          <w:color w:val="000000" w:themeColor="text1"/>
        </w:rPr>
        <w:t xml:space="preserve"> and we will work with them to support their action. </w:t>
      </w:r>
    </w:p>
    <w:p w14:paraId="79883BBF" w14:textId="6C7FAD02" w:rsidR="00C35326" w:rsidRPr="007076C3" w:rsidRDefault="00C35326" w:rsidP="00C35326">
      <w:pPr>
        <w:pStyle w:val="Heading4"/>
        <w:rPr>
          <w:b w:val="0"/>
          <w:color w:val="000000" w:themeColor="text1"/>
        </w:rPr>
      </w:pPr>
      <w:r w:rsidRPr="008F475E">
        <w:rPr>
          <w:b w:val="0"/>
          <w:i w:val="0"/>
          <w:iCs w:val="0"/>
          <w:color w:val="000000" w:themeColor="text1"/>
        </w:rPr>
        <w:t>Having considered other measures</w:t>
      </w:r>
      <w:r w:rsidR="00E6328B">
        <w:rPr>
          <w:b w:val="0"/>
          <w:i w:val="0"/>
          <w:iCs w:val="0"/>
          <w:color w:val="000000" w:themeColor="text1"/>
        </w:rPr>
        <w:t>,</w:t>
      </w:r>
      <w:r w:rsidRPr="008F475E">
        <w:rPr>
          <w:b w:val="0"/>
          <w:i w:val="0"/>
          <w:iCs w:val="0"/>
          <w:color w:val="000000" w:themeColor="text1"/>
        </w:rPr>
        <w:t xml:space="preserve"> and providing there is sufficient evidence, we may take legal action as a last resort. Legal measures that we may take include, applying for injunctions,</w:t>
      </w:r>
      <w:r>
        <w:rPr>
          <w:b w:val="0"/>
          <w:i w:val="0"/>
          <w:iCs w:val="0"/>
          <w:color w:val="000000" w:themeColor="text1"/>
        </w:rPr>
        <w:t xml:space="preserve"> possession orders and m</w:t>
      </w:r>
      <w:r w:rsidRPr="008F475E">
        <w:rPr>
          <w:b w:val="0"/>
          <w:i w:val="0"/>
          <w:iCs w:val="0"/>
          <w:color w:val="000000" w:themeColor="text1"/>
        </w:rPr>
        <w:t>andatory possession</w:t>
      </w:r>
      <w:r w:rsidR="00D70D91">
        <w:rPr>
          <w:b w:val="0"/>
          <w:i w:val="0"/>
          <w:iCs w:val="0"/>
          <w:color w:val="000000" w:themeColor="text1"/>
        </w:rPr>
        <w:t xml:space="preserve"> orders</w:t>
      </w:r>
      <w:r w:rsidRPr="008F475E">
        <w:rPr>
          <w:b w:val="0"/>
          <w:i w:val="0"/>
          <w:iCs w:val="0"/>
          <w:color w:val="000000" w:themeColor="text1"/>
        </w:rPr>
        <w:t xml:space="preserve"> using ground 7a of the Anti-Social Behaviou</w:t>
      </w:r>
      <w:r>
        <w:rPr>
          <w:b w:val="0"/>
          <w:i w:val="0"/>
          <w:iCs w:val="0"/>
          <w:color w:val="000000" w:themeColor="text1"/>
        </w:rPr>
        <w:t xml:space="preserve">r, Crime and Policing Act 2014.  </w:t>
      </w:r>
    </w:p>
    <w:p w14:paraId="7A68F5A2" w14:textId="46EE63BF" w:rsidR="00C35326" w:rsidRPr="007076C3" w:rsidRDefault="00C35326" w:rsidP="00C35326">
      <w:pPr>
        <w:pStyle w:val="Heading4"/>
        <w:rPr>
          <w:b w:val="0"/>
          <w:i w:val="0"/>
          <w:iCs w:val="0"/>
          <w:color w:val="000000" w:themeColor="text1"/>
        </w:rPr>
      </w:pPr>
      <w:r w:rsidRPr="007076C3">
        <w:rPr>
          <w:b w:val="0"/>
          <w:i w:val="0"/>
          <w:iCs w:val="0"/>
          <w:color w:val="000000" w:themeColor="text1"/>
        </w:rPr>
        <w:t>We will adhere to the Coronavirus Act 2020,</w:t>
      </w:r>
      <w:r w:rsidR="00E6328B">
        <w:rPr>
          <w:b w:val="0"/>
          <w:i w:val="0"/>
          <w:iCs w:val="0"/>
          <w:color w:val="000000" w:themeColor="text1"/>
        </w:rPr>
        <w:t xml:space="preserve"> </w:t>
      </w:r>
      <w:r w:rsidR="00D07956">
        <w:rPr>
          <w:b w:val="0"/>
          <w:i w:val="0"/>
          <w:iCs w:val="0"/>
          <w:color w:val="000000" w:themeColor="text1"/>
        </w:rPr>
        <w:t>and any reviews of it.</w:t>
      </w:r>
    </w:p>
    <w:p w14:paraId="27A453BF" w14:textId="77777777" w:rsidR="00DE6818" w:rsidRPr="003212AD" w:rsidRDefault="00DE6818" w:rsidP="003212AD">
      <w:pPr>
        <w:rPr>
          <w:b/>
        </w:rPr>
      </w:pPr>
    </w:p>
    <w:p w14:paraId="662D7EA8" w14:textId="77777777" w:rsidR="00DE6818" w:rsidRPr="007A521A" w:rsidRDefault="00C35326" w:rsidP="00DE6818">
      <w:pPr>
        <w:pStyle w:val="Heading1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</w:t>
      </w:r>
      <w:r w:rsidR="00DE6818" w:rsidRPr="007A521A">
        <w:rPr>
          <w:color w:val="000000" w:themeColor="text1"/>
          <w:sz w:val="36"/>
          <w:szCs w:val="36"/>
        </w:rPr>
        <w:t>Communications</w:t>
      </w:r>
    </w:p>
    <w:p w14:paraId="7A60DCAD" w14:textId="77777777" w:rsidR="002D3AC8" w:rsidRPr="003212AD" w:rsidRDefault="00DE6818" w:rsidP="003212AD">
      <w:pPr>
        <w:pStyle w:val="Heading3"/>
        <w:spacing w:after="240"/>
        <w:rPr>
          <w:b w:val="0"/>
          <w:i/>
          <w:color w:val="000000" w:themeColor="text1"/>
        </w:rPr>
      </w:pPr>
      <w:r w:rsidRPr="007A521A">
        <w:rPr>
          <w:b w:val="0"/>
          <w:color w:val="000000" w:themeColor="text1"/>
        </w:rPr>
        <w:t>We will regularly publicise our expectations of resident behaviour, how residents can get involved to improve their estates or areas, ways of reporting ASB and information about our policy, pr</w:t>
      </w:r>
      <w:r w:rsidR="00905E5E">
        <w:rPr>
          <w:b w:val="0"/>
          <w:color w:val="000000" w:themeColor="text1"/>
        </w:rPr>
        <w:t xml:space="preserve">ocedure and service standards. </w:t>
      </w:r>
    </w:p>
    <w:p w14:paraId="70FEDD65" w14:textId="77777777" w:rsidR="000A6D0F" w:rsidRPr="005F4BF1" w:rsidRDefault="000A6D0F" w:rsidP="003212AD">
      <w:pPr>
        <w:pStyle w:val="Heading1"/>
        <w:spacing w:before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Pr="005F4BF1">
        <w:rPr>
          <w:color w:val="000000" w:themeColor="text1"/>
          <w:sz w:val="36"/>
          <w:szCs w:val="36"/>
        </w:rPr>
        <w:t xml:space="preserve">Legislation </w:t>
      </w:r>
    </w:p>
    <w:p w14:paraId="7C8051F7" w14:textId="77777777" w:rsidR="00251F7D" w:rsidRPr="003212AD" w:rsidRDefault="000A6D0F" w:rsidP="003212AD">
      <w:pPr>
        <w:pStyle w:val="Heading3"/>
        <w:rPr>
          <w:i/>
          <w:color w:val="000000" w:themeColor="text1"/>
        </w:rPr>
      </w:pPr>
      <w:r w:rsidRPr="00637125">
        <w:rPr>
          <w:b w:val="0"/>
          <w:color w:val="000000" w:themeColor="text1"/>
        </w:rPr>
        <w:t>The following legislation is relevant to this policy:</w:t>
      </w:r>
    </w:p>
    <w:p w14:paraId="61D56EAF" w14:textId="761557D1" w:rsidR="00345618" w:rsidRDefault="0016723C" w:rsidP="00345618">
      <w:pPr>
        <w:pStyle w:val="ListParagraph"/>
        <w:numPr>
          <w:ilvl w:val="0"/>
          <w:numId w:val="36"/>
        </w:numPr>
        <w:spacing w:before="240"/>
        <w:rPr>
          <w:rFonts w:asciiTheme="majorHAnsi" w:hAnsiTheme="majorHAnsi" w:cs="Arial"/>
        </w:rPr>
      </w:pPr>
      <w:r w:rsidRPr="003212AD">
        <w:rPr>
          <w:rFonts w:asciiTheme="majorHAnsi" w:hAnsiTheme="majorHAnsi" w:cs="Arial"/>
        </w:rPr>
        <w:t>Anti-</w:t>
      </w:r>
      <w:r w:rsidR="009A6736">
        <w:rPr>
          <w:rFonts w:asciiTheme="majorHAnsi" w:hAnsiTheme="majorHAnsi" w:cs="Arial"/>
        </w:rPr>
        <w:t>s</w:t>
      </w:r>
      <w:r w:rsidRPr="003212AD">
        <w:rPr>
          <w:rFonts w:asciiTheme="majorHAnsi" w:hAnsiTheme="majorHAnsi" w:cs="Arial"/>
        </w:rPr>
        <w:t xml:space="preserve">ocial Behaviour, </w:t>
      </w:r>
      <w:r w:rsidR="00345618" w:rsidRPr="003212AD">
        <w:rPr>
          <w:rFonts w:asciiTheme="majorHAnsi" w:hAnsiTheme="majorHAnsi" w:cs="Arial"/>
        </w:rPr>
        <w:t>Crime and Policing Act 20</w:t>
      </w:r>
      <w:r w:rsidR="00D07956">
        <w:rPr>
          <w:rFonts w:asciiTheme="majorHAnsi" w:hAnsiTheme="majorHAnsi" w:cs="Arial"/>
        </w:rPr>
        <w:t>1</w:t>
      </w:r>
      <w:r w:rsidR="00345618" w:rsidRPr="003212AD">
        <w:rPr>
          <w:rFonts w:asciiTheme="majorHAnsi" w:hAnsiTheme="majorHAnsi" w:cs="Arial"/>
        </w:rPr>
        <w:t>4</w:t>
      </w:r>
    </w:p>
    <w:p w14:paraId="01802A09" w14:textId="77777777" w:rsidR="009A6736" w:rsidRDefault="00905E5E" w:rsidP="00D07956">
      <w:pPr>
        <w:pStyle w:val="ListParagraph"/>
        <w:numPr>
          <w:ilvl w:val="0"/>
          <w:numId w:val="36"/>
        </w:numPr>
        <w:spacing w:before="240"/>
        <w:rPr>
          <w:rFonts w:asciiTheme="majorHAnsi" w:hAnsiTheme="majorHAnsi" w:cs="Arial"/>
        </w:rPr>
      </w:pPr>
      <w:r w:rsidRPr="00D07956">
        <w:rPr>
          <w:rFonts w:asciiTheme="majorHAnsi" w:hAnsiTheme="majorHAnsi" w:cs="Arial"/>
        </w:rPr>
        <w:t>The Coronavirus Act 2020</w:t>
      </w:r>
      <w:r w:rsidR="00D07956" w:rsidRPr="00D07956">
        <w:rPr>
          <w:rFonts w:asciiTheme="majorHAnsi" w:hAnsiTheme="majorHAnsi" w:cs="Arial"/>
        </w:rPr>
        <w:t xml:space="preserve"> and any reviews of it.</w:t>
      </w:r>
    </w:p>
    <w:p w14:paraId="4D2913F7" w14:textId="77777777" w:rsidR="009A6736" w:rsidRDefault="00D07956" w:rsidP="009A6736">
      <w:pPr>
        <w:pStyle w:val="ListParagraph"/>
        <w:numPr>
          <w:ilvl w:val="0"/>
          <w:numId w:val="36"/>
        </w:numPr>
        <w:spacing w:before="240"/>
        <w:rPr>
          <w:rFonts w:asciiTheme="majorHAnsi" w:hAnsiTheme="majorHAnsi" w:cs="Arial"/>
        </w:rPr>
      </w:pPr>
      <w:r w:rsidRPr="009A6736">
        <w:rPr>
          <w:rFonts w:asciiTheme="majorHAnsi" w:hAnsiTheme="majorHAnsi" w:cs="Arial"/>
        </w:rPr>
        <w:t>A</w:t>
      </w:r>
      <w:r w:rsidR="00345618" w:rsidRPr="009A6736">
        <w:rPr>
          <w:rFonts w:asciiTheme="majorHAnsi" w:hAnsiTheme="majorHAnsi" w:cs="Arial"/>
        </w:rPr>
        <w:t>nti-social Behaviour Act 2003</w:t>
      </w:r>
    </w:p>
    <w:p w14:paraId="167932E1" w14:textId="3BEFC266" w:rsidR="00C35326" w:rsidRPr="009A6736" w:rsidRDefault="00345618" w:rsidP="009A6736">
      <w:pPr>
        <w:pStyle w:val="ListParagraph"/>
        <w:numPr>
          <w:ilvl w:val="0"/>
          <w:numId w:val="36"/>
        </w:numPr>
        <w:spacing w:before="240"/>
        <w:rPr>
          <w:rFonts w:asciiTheme="majorHAnsi" w:hAnsiTheme="majorHAnsi" w:cs="Arial"/>
        </w:rPr>
      </w:pPr>
      <w:r w:rsidRPr="009A6736">
        <w:rPr>
          <w:rFonts w:asciiTheme="majorHAnsi" w:hAnsiTheme="majorHAnsi" w:cs="Arial"/>
        </w:rPr>
        <w:t>Housing Acts (1985, 1988, 199</w:t>
      </w:r>
      <w:r w:rsidR="00D70D91" w:rsidRPr="009A6736">
        <w:rPr>
          <w:rFonts w:asciiTheme="majorHAnsi" w:hAnsiTheme="majorHAnsi" w:cs="Arial"/>
        </w:rPr>
        <w:t>6</w:t>
      </w:r>
      <w:r w:rsidR="009A6736">
        <w:rPr>
          <w:rFonts w:asciiTheme="majorHAnsi" w:hAnsiTheme="majorHAnsi" w:cs="Arial"/>
        </w:rPr>
        <w:t>)</w:t>
      </w:r>
    </w:p>
    <w:p w14:paraId="42A19BF5" w14:textId="77777777" w:rsidR="00C35326" w:rsidRDefault="00C35326" w:rsidP="003212AD">
      <w:pPr>
        <w:spacing w:before="240"/>
        <w:rPr>
          <w:rFonts w:asciiTheme="majorHAnsi" w:hAnsiTheme="majorHAnsi" w:cs="Arial"/>
        </w:rPr>
      </w:pPr>
    </w:p>
    <w:p w14:paraId="4CE8E503" w14:textId="77777777" w:rsidR="00C35326" w:rsidRDefault="00C35326" w:rsidP="003212AD">
      <w:pPr>
        <w:spacing w:before="240"/>
        <w:rPr>
          <w:rFonts w:asciiTheme="majorHAnsi" w:hAnsiTheme="majorHAnsi" w:cs="Arial"/>
        </w:rPr>
      </w:pPr>
    </w:p>
    <w:p w14:paraId="1DA68A38" w14:textId="77777777" w:rsidR="00C35326" w:rsidRDefault="00C35326" w:rsidP="003212AD">
      <w:pPr>
        <w:spacing w:before="240"/>
        <w:rPr>
          <w:rFonts w:asciiTheme="majorHAnsi" w:hAnsiTheme="majorHAnsi" w:cs="Arial"/>
        </w:rPr>
      </w:pPr>
    </w:p>
    <w:p w14:paraId="19114FED" w14:textId="77777777" w:rsidR="00CB799A" w:rsidRDefault="00CB799A" w:rsidP="003212AD">
      <w:pPr>
        <w:spacing w:before="240"/>
        <w:rPr>
          <w:rFonts w:asciiTheme="majorHAnsi" w:hAnsiTheme="majorHAnsi" w:cs="Arial"/>
        </w:rPr>
      </w:pPr>
    </w:p>
    <w:p w14:paraId="4833F8CF" w14:textId="77777777" w:rsidR="00CB799A" w:rsidRDefault="00CB799A" w:rsidP="003212AD">
      <w:pPr>
        <w:spacing w:before="240"/>
        <w:rPr>
          <w:rFonts w:asciiTheme="majorHAnsi" w:hAnsiTheme="majorHAnsi" w:cs="Arial"/>
        </w:rPr>
      </w:pPr>
    </w:p>
    <w:p w14:paraId="0CDD0281" w14:textId="77777777" w:rsidR="00E6328B" w:rsidRPr="003212AD" w:rsidRDefault="00E6328B" w:rsidP="003212AD">
      <w:pPr>
        <w:spacing w:before="240"/>
        <w:rPr>
          <w:rFonts w:asciiTheme="majorHAnsi" w:hAnsiTheme="majorHAnsi" w:cs="Arial"/>
        </w:rPr>
      </w:pPr>
    </w:p>
    <w:p w14:paraId="15B5D885" w14:textId="77777777" w:rsidR="00A01A48" w:rsidRPr="003212AD" w:rsidRDefault="00A01A48">
      <w:pPr>
        <w:pStyle w:val="Heading1"/>
        <w:numPr>
          <w:ilvl w:val="0"/>
          <w:numId w:val="0"/>
        </w:numPr>
        <w:spacing w:before="0"/>
        <w:rPr>
          <w:rFonts w:cs="Arial"/>
          <w:color w:val="000000" w:themeColor="text1"/>
          <w:sz w:val="36"/>
          <w:szCs w:val="36"/>
          <w:u w:val="single"/>
        </w:rPr>
      </w:pPr>
      <w:bookmarkStart w:id="1" w:name="_Ref39163218"/>
      <w:r w:rsidRPr="003212AD">
        <w:rPr>
          <w:rFonts w:cs="Arial"/>
          <w:color w:val="000000" w:themeColor="text1"/>
          <w:sz w:val="36"/>
          <w:szCs w:val="36"/>
          <w:u w:val="single"/>
        </w:rPr>
        <w:t>Appendix</w:t>
      </w:r>
      <w:r w:rsidR="00905E5E">
        <w:rPr>
          <w:rFonts w:cs="Arial"/>
          <w:color w:val="000000" w:themeColor="text1"/>
          <w:sz w:val="36"/>
          <w:szCs w:val="36"/>
          <w:u w:val="single"/>
        </w:rPr>
        <w:t xml:space="preserve"> 1</w:t>
      </w:r>
      <w:r w:rsidRPr="003212AD">
        <w:rPr>
          <w:rFonts w:cs="Arial"/>
          <w:color w:val="000000" w:themeColor="text1"/>
          <w:sz w:val="36"/>
          <w:szCs w:val="36"/>
          <w:u w:val="single"/>
        </w:rPr>
        <w:t xml:space="preserve"> </w:t>
      </w:r>
      <w:r w:rsidR="00C04DD2" w:rsidRPr="003212AD">
        <w:rPr>
          <w:rFonts w:cs="Arial"/>
          <w:color w:val="000000" w:themeColor="text1"/>
          <w:sz w:val="36"/>
          <w:szCs w:val="36"/>
          <w:u w:val="single"/>
        </w:rPr>
        <w:t xml:space="preserve">- </w:t>
      </w:r>
      <w:r w:rsidRPr="003212AD">
        <w:rPr>
          <w:rFonts w:cs="Arial"/>
          <w:color w:val="000000" w:themeColor="text1"/>
          <w:sz w:val="36"/>
          <w:szCs w:val="36"/>
          <w:u w:val="single"/>
        </w:rPr>
        <w:t>Risk rating</w:t>
      </w:r>
      <w:bookmarkEnd w:id="1"/>
      <w:r w:rsidRPr="003212AD">
        <w:rPr>
          <w:rFonts w:cs="Arial"/>
          <w:color w:val="000000" w:themeColor="text1"/>
          <w:sz w:val="36"/>
          <w:szCs w:val="36"/>
          <w:u w:val="single"/>
        </w:rPr>
        <w:t xml:space="preserve"> </w:t>
      </w:r>
    </w:p>
    <w:p w14:paraId="7C402EFE" w14:textId="77777777" w:rsidR="00A01A48" w:rsidRPr="003212AD" w:rsidRDefault="00A01A48" w:rsidP="001E1A74">
      <w:pPr>
        <w:spacing w:after="0"/>
        <w:rPr>
          <w:rFonts w:asciiTheme="majorHAnsi" w:hAnsiTheme="majorHAns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856"/>
      </w:tblGrid>
      <w:tr w:rsidR="00A01A48" w:rsidRPr="00F04808" w14:paraId="7E625C33" w14:textId="77777777" w:rsidTr="000163AE">
        <w:trPr>
          <w:trHeight w:val="924"/>
        </w:trPr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CDD2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14:paraId="547FBB64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RISK RATING &amp;</w:t>
            </w:r>
          </w:p>
          <w:p w14:paraId="4344DDD2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RESPONSE TIME</w:t>
            </w:r>
          </w:p>
          <w:p w14:paraId="43FE89BF" w14:textId="77777777" w:rsidR="00A01A48" w:rsidRPr="003212AD" w:rsidRDefault="00A01A48" w:rsidP="004F3A1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30AB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  <w:p w14:paraId="2412C027" w14:textId="77777777" w:rsidR="00A01A48" w:rsidRPr="003212AD" w:rsidRDefault="00A01A48" w:rsidP="003212AD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TYPE OF NUISANCE</w:t>
            </w:r>
            <w:r w:rsidR="002D3AC8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 xml:space="preserve"> ( not </w:t>
            </w:r>
            <w:r w:rsidR="00AF43EF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exhaustive</w:t>
            </w:r>
            <w:r w:rsidR="002D3AC8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1A48" w:rsidRPr="00F04808" w14:paraId="685F7842" w14:textId="77777777" w:rsidTr="000163AE">
        <w:trPr>
          <w:trHeight w:val="924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0E09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14:paraId="7EBF2C55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Cat 3 - LOW Risk Cases</w:t>
            </w:r>
          </w:p>
          <w:p w14:paraId="0714BA82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(5 – 10 Working days)</w:t>
            </w:r>
          </w:p>
          <w:p w14:paraId="4143C9FE" w14:textId="77777777" w:rsidR="00A01A48" w:rsidRPr="003212AD" w:rsidRDefault="00A01A48" w:rsidP="004F3A1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B06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  <w:p w14:paraId="4DB308A5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Minor neighbour disputes, minor breaches of tenancy, some noise nuisance</w:t>
            </w:r>
          </w:p>
        </w:tc>
      </w:tr>
      <w:tr w:rsidR="00A01A48" w:rsidRPr="00F04808" w14:paraId="6A022CB5" w14:textId="77777777" w:rsidTr="003212AD">
        <w:trPr>
          <w:trHeight w:val="1038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5F68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14:paraId="4A79F40B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Cat 2 -MEDIUM Risk Cases</w:t>
            </w:r>
          </w:p>
          <w:p w14:paraId="43942CFA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(2 – 5 working days)</w:t>
            </w:r>
          </w:p>
          <w:p w14:paraId="268E4AA3" w14:textId="77777777" w:rsidR="00A01A48" w:rsidRPr="003212AD" w:rsidRDefault="00A01A48" w:rsidP="004F3A1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248F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  <w:p w14:paraId="07D15785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Allegations of criminal activity, drug dealing, verbal abuse, youth nuisance, consistent/repetitive noise nuisance</w:t>
            </w:r>
          </w:p>
          <w:p w14:paraId="05174D6E" w14:textId="77777777" w:rsidR="00A01A48" w:rsidRPr="003212AD" w:rsidRDefault="00A01A48" w:rsidP="004F3A13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</w:tr>
      <w:tr w:rsidR="00A01A48" w:rsidRPr="00F04808" w14:paraId="07F0633B" w14:textId="77777777" w:rsidTr="000163AE">
        <w:trPr>
          <w:trHeight w:val="1397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FAFC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14:paraId="129E9095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14:paraId="681D617E" w14:textId="77777777" w:rsidR="00A01A48" w:rsidRPr="003212AD" w:rsidRDefault="00A01A48" w:rsidP="003212AD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Cat 1 - HIGH Risk Cases</w:t>
            </w:r>
          </w:p>
          <w:p w14:paraId="4A3215E9" w14:textId="77777777" w:rsidR="00A01A48" w:rsidRPr="003212AD" w:rsidRDefault="00A01A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b/>
                <w:bCs/>
                <w:color w:val="000000"/>
                <w:sz w:val="20"/>
                <w:szCs w:val="20"/>
              </w:rPr>
              <w:t>(24 hours – 1 working day)</w:t>
            </w:r>
          </w:p>
          <w:p w14:paraId="7E7F5E23" w14:textId="77777777" w:rsidR="00A01A48" w:rsidRPr="003212AD" w:rsidRDefault="00A01A48" w:rsidP="004F3A1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6464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  <w:p w14:paraId="22573DF3" w14:textId="77777777" w:rsidR="00A01A48" w:rsidRPr="003212AD" w:rsidRDefault="00A01A48" w:rsidP="004F3A13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3212AD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Threats of physical assault, serious intimidation or harassment, racial incidents, domestic violence, serious damage to Hexagon’s property</w:t>
            </w:r>
          </w:p>
        </w:tc>
      </w:tr>
    </w:tbl>
    <w:p w14:paraId="2C1B7AA5" w14:textId="77777777" w:rsidR="00A01A48" w:rsidRPr="003212AD" w:rsidRDefault="00A01A48" w:rsidP="003212AD">
      <w:pPr>
        <w:pStyle w:val="Heading1"/>
        <w:numPr>
          <w:ilvl w:val="0"/>
          <w:numId w:val="0"/>
        </w:numPr>
        <w:spacing w:before="0"/>
        <w:rPr>
          <w:rFonts w:cs="Arial"/>
          <w:color w:val="000000" w:themeColor="text1"/>
          <w:sz w:val="36"/>
          <w:szCs w:val="36"/>
          <w:u w:val="single"/>
        </w:rPr>
      </w:pPr>
    </w:p>
    <w:p w14:paraId="3132A846" w14:textId="77777777" w:rsidR="00886ACD" w:rsidRPr="00886ACD" w:rsidRDefault="00886ACD"/>
    <w:sectPr w:rsidR="00886ACD" w:rsidRPr="00886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186D" w14:textId="77777777" w:rsidR="00BB7CA4" w:rsidRDefault="00BB7CA4" w:rsidP="00CE15E6">
      <w:pPr>
        <w:spacing w:after="0" w:line="240" w:lineRule="auto"/>
      </w:pPr>
      <w:r>
        <w:separator/>
      </w:r>
    </w:p>
  </w:endnote>
  <w:endnote w:type="continuationSeparator" w:id="0">
    <w:p w14:paraId="6BB5D225" w14:textId="77777777" w:rsidR="00BB7CA4" w:rsidRDefault="00BB7CA4" w:rsidP="00CE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3894" w14:textId="77777777" w:rsidR="00BB7CA4" w:rsidRDefault="00BB7CA4" w:rsidP="00CE15E6">
      <w:pPr>
        <w:spacing w:after="0" w:line="240" w:lineRule="auto"/>
      </w:pPr>
      <w:r>
        <w:separator/>
      </w:r>
    </w:p>
  </w:footnote>
  <w:footnote w:type="continuationSeparator" w:id="0">
    <w:p w14:paraId="1085DDAC" w14:textId="77777777" w:rsidR="00BB7CA4" w:rsidRDefault="00BB7CA4" w:rsidP="00CE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A57"/>
    <w:multiLevelType w:val="hybridMultilevel"/>
    <w:tmpl w:val="A7920D88"/>
    <w:lvl w:ilvl="0" w:tplc="935CC67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A9F"/>
    <w:multiLevelType w:val="multilevel"/>
    <w:tmpl w:val="22FA337C"/>
    <w:lvl w:ilvl="0">
      <w:start w:val="1"/>
      <w:numFmt w:val="decimal"/>
      <w:lvlText w:val="%1"/>
      <w:lvlJc w:val="left"/>
      <w:pPr>
        <w:ind w:left="432" w:hanging="432"/>
      </w:pPr>
      <w:rPr>
        <w:color w:val="auto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FE1146"/>
    <w:multiLevelType w:val="hybridMultilevel"/>
    <w:tmpl w:val="96745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04411"/>
    <w:multiLevelType w:val="hybridMultilevel"/>
    <w:tmpl w:val="FA26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222"/>
    <w:multiLevelType w:val="hybridMultilevel"/>
    <w:tmpl w:val="99E8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13BF"/>
    <w:multiLevelType w:val="multilevel"/>
    <w:tmpl w:val="A6A2FEF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hAnsiTheme="majorHAnsi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7380" w:hanging="576"/>
      </w:pPr>
      <w:rPr>
        <w:b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C80D10"/>
    <w:multiLevelType w:val="hybridMultilevel"/>
    <w:tmpl w:val="81FC32A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BB72675"/>
    <w:multiLevelType w:val="hybridMultilevel"/>
    <w:tmpl w:val="2DD8424C"/>
    <w:lvl w:ilvl="0" w:tplc="0A64E5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35FD7"/>
    <w:multiLevelType w:val="hybridMultilevel"/>
    <w:tmpl w:val="E84C4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627C5"/>
    <w:multiLevelType w:val="hybridMultilevel"/>
    <w:tmpl w:val="B1A6C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30B01"/>
    <w:multiLevelType w:val="hybridMultilevel"/>
    <w:tmpl w:val="CAA0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1F34"/>
    <w:multiLevelType w:val="hybridMultilevel"/>
    <w:tmpl w:val="65EEE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22842"/>
    <w:multiLevelType w:val="hybridMultilevel"/>
    <w:tmpl w:val="5A0AA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510E5"/>
    <w:multiLevelType w:val="hybridMultilevel"/>
    <w:tmpl w:val="8D5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F7618"/>
    <w:multiLevelType w:val="hybridMultilevel"/>
    <w:tmpl w:val="7A08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E99"/>
    <w:multiLevelType w:val="hybridMultilevel"/>
    <w:tmpl w:val="7158B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1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9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6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0"/>
  </w:num>
  <w:num w:numId="85">
    <w:abstractNumId w:val="5"/>
  </w:num>
  <w:num w:numId="86">
    <w:abstractNumId w:val="5"/>
  </w:num>
  <w:num w:numId="87">
    <w:abstractNumId w:val="2"/>
  </w:num>
  <w:num w:numId="88">
    <w:abstractNumId w:val="1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7"/>
    <w:rsid w:val="000163AE"/>
    <w:rsid w:val="00026017"/>
    <w:rsid w:val="00030021"/>
    <w:rsid w:val="00031886"/>
    <w:rsid w:val="00035D49"/>
    <w:rsid w:val="00044AA0"/>
    <w:rsid w:val="000467CE"/>
    <w:rsid w:val="00060BE2"/>
    <w:rsid w:val="00070309"/>
    <w:rsid w:val="000770DD"/>
    <w:rsid w:val="00082055"/>
    <w:rsid w:val="00091933"/>
    <w:rsid w:val="000A47F2"/>
    <w:rsid w:val="000A6D0F"/>
    <w:rsid w:val="000C7322"/>
    <w:rsid w:val="000E4084"/>
    <w:rsid w:val="00101706"/>
    <w:rsid w:val="00111BF7"/>
    <w:rsid w:val="00114B5C"/>
    <w:rsid w:val="00130F0A"/>
    <w:rsid w:val="00131566"/>
    <w:rsid w:val="00150CBD"/>
    <w:rsid w:val="0016723C"/>
    <w:rsid w:val="00167FCB"/>
    <w:rsid w:val="001A57A2"/>
    <w:rsid w:val="001B101C"/>
    <w:rsid w:val="001C068E"/>
    <w:rsid w:val="001C1424"/>
    <w:rsid w:val="001E1A74"/>
    <w:rsid w:val="00215F54"/>
    <w:rsid w:val="00251F7D"/>
    <w:rsid w:val="0026117C"/>
    <w:rsid w:val="00275560"/>
    <w:rsid w:val="00276B56"/>
    <w:rsid w:val="002B5A8D"/>
    <w:rsid w:val="002B7462"/>
    <w:rsid w:val="002D3AC8"/>
    <w:rsid w:val="002D643C"/>
    <w:rsid w:val="002E0555"/>
    <w:rsid w:val="002E3C99"/>
    <w:rsid w:val="002E3EC5"/>
    <w:rsid w:val="002F1090"/>
    <w:rsid w:val="003212AD"/>
    <w:rsid w:val="00330DBA"/>
    <w:rsid w:val="0033513C"/>
    <w:rsid w:val="00345618"/>
    <w:rsid w:val="00373429"/>
    <w:rsid w:val="00381430"/>
    <w:rsid w:val="00390AC9"/>
    <w:rsid w:val="003932E3"/>
    <w:rsid w:val="0039405B"/>
    <w:rsid w:val="003B14C4"/>
    <w:rsid w:val="003D09BE"/>
    <w:rsid w:val="003E2E0D"/>
    <w:rsid w:val="00404051"/>
    <w:rsid w:val="00407E63"/>
    <w:rsid w:val="00417383"/>
    <w:rsid w:val="004422FB"/>
    <w:rsid w:val="00442AC1"/>
    <w:rsid w:val="0044732C"/>
    <w:rsid w:val="0045410B"/>
    <w:rsid w:val="004948CD"/>
    <w:rsid w:val="004A7C0F"/>
    <w:rsid w:val="004C59BF"/>
    <w:rsid w:val="004D7391"/>
    <w:rsid w:val="004F2DBE"/>
    <w:rsid w:val="004F3A13"/>
    <w:rsid w:val="0050048C"/>
    <w:rsid w:val="00506394"/>
    <w:rsid w:val="00515C51"/>
    <w:rsid w:val="005227EA"/>
    <w:rsid w:val="005362D6"/>
    <w:rsid w:val="00592656"/>
    <w:rsid w:val="005F763F"/>
    <w:rsid w:val="006261AF"/>
    <w:rsid w:val="00646ED0"/>
    <w:rsid w:val="0065260B"/>
    <w:rsid w:val="00661A1F"/>
    <w:rsid w:val="00677582"/>
    <w:rsid w:val="006A6356"/>
    <w:rsid w:val="006C5ED0"/>
    <w:rsid w:val="006D225B"/>
    <w:rsid w:val="006F7743"/>
    <w:rsid w:val="007058C5"/>
    <w:rsid w:val="007217E7"/>
    <w:rsid w:val="00734549"/>
    <w:rsid w:val="007A1FCA"/>
    <w:rsid w:val="007E055A"/>
    <w:rsid w:val="007E108A"/>
    <w:rsid w:val="00803CCB"/>
    <w:rsid w:val="00826ADC"/>
    <w:rsid w:val="008270FB"/>
    <w:rsid w:val="00855A22"/>
    <w:rsid w:val="00863131"/>
    <w:rsid w:val="00872320"/>
    <w:rsid w:val="00886ACD"/>
    <w:rsid w:val="008A047D"/>
    <w:rsid w:val="008A292F"/>
    <w:rsid w:val="008C6669"/>
    <w:rsid w:val="008C7E4A"/>
    <w:rsid w:val="008F3A8C"/>
    <w:rsid w:val="008F475E"/>
    <w:rsid w:val="00905E5E"/>
    <w:rsid w:val="00915E58"/>
    <w:rsid w:val="00936A96"/>
    <w:rsid w:val="009448BC"/>
    <w:rsid w:val="00944E95"/>
    <w:rsid w:val="009614BE"/>
    <w:rsid w:val="00971D7A"/>
    <w:rsid w:val="00984EB9"/>
    <w:rsid w:val="0099558F"/>
    <w:rsid w:val="009A1D12"/>
    <w:rsid w:val="009A6736"/>
    <w:rsid w:val="009D0502"/>
    <w:rsid w:val="00A01A48"/>
    <w:rsid w:val="00A01B68"/>
    <w:rsid w:val="00A052F3"/>
    <w:rsid w:val="00A205BC"/>
    <w:rsid w:val="00A35143"/>
    <w:rsid w:val="00A459A0"/>
    <w:rsid w:val="00A51F69"/>
    <w:rsid w:val="00A64B5D"/>
    <w:rsid w:val="00A721E4"/>
    <w:rsid w:val="00A73A19"/>
    <w:rsid w:val="00A906D8"/>
    <w:rsid w:val="00A95057"/>
    <w:rsid w:val="00AA3AF5"/>
    <w:rsid w:val="00AE4D89"/>
    <w:rsid w:val="00AF43EF"/>
    <w:rsid w:val="00B04E3A"/>
    <w:rsid w:val="00B32AFF"/>
    <w:rsid w:val="00B75C98"/>
    <w:rsid w:val="00B80E13"/>
    <w:rsid w:val="00BA0F77"/>
    <w:rsid w:val="00BA5516"/>
    <w:rsid w:val="00BB6D63"/>
    <w:rsid w:val="00BB7CA4"/>
    <w:rsid w:val="00BC389D"/>
    <w:rsid w:val="00C014C3"/>
    <w:rsid w:val="00C0221C"/>
    <w:rsid w:val="00C04DD2"/>
    <w:rsid w:val="00C17FB5"/>
    <w:rsid w:val="00C35326"/>
    <w:rsid w:val="00C4225C"/>
    <w:rsid w:val="00C51585"/>
    <w:rsid w:val="00C5747A"/>
    <w:rsid w:val="00C91C6E"/>
    <w:rsid w:val="00CA103A"/>
    <w:rsid w:val="00CB799A"/>
    <w:rsid w:val="00CD7EFE"/>
    <w:rsid w:val="00CE15E6"/>
    <w:rsid w:val="00CE52C2"/>
    <w:rsid w:val="00CE7C36"/>
    <w:rsid w:val="00D07956"/>
    <w:rsid w:val="00D16A96"/>
    <w:rsid w:val="00D232FE"/>
    <w:rsid w:val="00D70D91"/>
    <w:rsid w:val="00DA41F9"/>
    <w:rsid w:val="00DD4BDE"/>
    <w:rsid w:val="00DE6818"/>
    <w:rsid w:val="00E11A58"/>
    <w:rsid w:val="00E167EC"/>
    <w:rsid w:val="00E21DD2"/>
    <w:rsid w:val="00E33757"/>
    <w:rsid w:val="00E35051"/>
    <w:rsid w:val="00E6328B"/>
    <w:rsid w:val="00E74EA1"/>
    <w:rsid w:val="00E7686C"/>
    <w:rsid w:val="00E875F4"/>
    <w:rsid w:val="00EA6E45"/>
    <w:rsid w:val="00EC1FEA"/>
    <w:rsid w:val="00EC3030"/>
    <w:rsid w:val="00EE200A"/>
    <w:rsid w:val="00EF4C5D"/>
    <w:rsid w:val="00F00FD0"/>
    <w:rsid w:val="00F01458"/>
    <w:rsid w:val="00F04808"/>
    <w:rsid w:val="00F2200F"/>
    <w:rsid w:val="00F25EDE"/>
    <w:rsid w:val="00F651A7"/>
    <w:rsid w:val="00F80889"/>
    <w:rsid w:val="00F822C4"/>
    <w:rsid w:val="00F838F0"/>
    <w:rsid w:val="00F952D7"/>
    <w:rsid w:val="00FB25BD"/>
    <w:rsid w:val="00FD377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6088"/>
  <w15:docId w15:val="{76FDDDAA-3DAA-4F98-8E26-EBC4EDA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F7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C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AC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AC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AC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AC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AC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AC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AC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6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886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E6"/>
  </w:style>
  <w:style w:type="paragraph" w:styleId="Footer">
    <w:name w:val="footer"/>
    <w:basedOn w:val="Normal"/>
    <w:link w:val="FooterChar"/>
    <w:uiPriority w:val="99"/>
    <w:unhideWhenUsed/>
    <w:rsid w:val="00CE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E6"/>
  </w:style>
  <w:style w:type="paragraph" w:customStyle="1" w:styleId="legclearfix">
    <w:name w:val="legclearfix"/>
    <w:basedOn w:val="Normal"/>
    <w:rsid w:val="008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8F475E"/>
  </w:style>
  <w:style w:type="character" w:customStyle="1" w:styleId="legp1no">
    <w:name w:val="legp1no"/>
    <w:basedOn w:val="DefaultParagraphFont"/>
    <w:rsid w:val="008F475E"/>
  </w:style>
  <w:style w:type="character" w:customStyle="1" w:styleId="legamendingtext">
    <w:name w:val="legamendingtext"/>
    <w:basedOn w:val="DefaultParagraphFont"/>
    <w:rsid w:val="008F475E"/>
  </w:style>
  <w:style w:type="character" w:customStyle="1" w:styleId="legamendquote">
    <w:name w:val="legamendquote"/>
    <w:basedOn w:val="DefaultParagraphFont"/>
    <w:rsid w:val="008F475E"/>
  </w:style>
  <w:style w:type="character" w:styleId="Hyperlink">
    <w:name w:val="Hyperlink"/>
    <w:basedOn w:val="DefaultParagraphFont"/>
    <w:uiPriority w:val="99"/>
    <w:unhideWhenUsed/>
    <w:rsid w:val="00B32A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xagonha.interactgo.com/Interact/Pages/Content/Document.aspx?id=3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727E-42ED-45B6-B924-CB3A10E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Jotepreet Bhandal</dc:creator>
  <cp:lastModifiedBy>Judith Harries</cp:lastModifiedBy>
  <cp:revision>4</cp:revision>
  <dcterms:created xsi:type="dcterms:W3CDTF">2020-11-10T11:54:00Z</dcterms:created>
  <dcterms:modified xsi:type="dcterms:W3CDTF">2020-12-10T11:28:00Z</dcterms:modified>
</cp:coreProperties>
</file>