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7233" w14:textId="19660D59" w:rsidR="00883492" w:rsidRDefault="00883492">
      <w:pPr>
        <w:rPr>
          <w:rFonts w:ascii="Arial" w:hAnsi="Arial" w:cs="Arial"/>
          <w:b/>
          <w:bCs/>
          <w:sz w:val="24"/>
          <w:szCs w:val="24"/>
        </w:rPr>
      </w:pPr>
    </w:p>
    <w:p w14:paraId="7A277989" w14:textId="77777777" w:rsidR="00883492" w:rsidRDefault="00883492" w:rsidP="00883492">
      <w:r>
        <w:rPr>
          <w:noProof/>
          <w:lang w:eastAsia="en-GB"/>
        </w:rPr>
        <w:drawing>
          <wp:inline distT="0" distB="0" distL="0" distR="0" wp14:anchorId="4649DC5B" wp14:editId="1A97762A">
            <wp:extent cx="5753819" cy="24747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99" cy="2490857"/>
                    </a:xfrm>
                    <a:prstGeom prst="rect">
                      <a:avLst/>
                    </a:prstGeom>
                    <a:noFill/>
                  </pic:spPr>
                </pic:pic>
              </a:graphicData>
            </a:graphic>
          </wp:inline>
        </w:drawing>
      </w:r>
    </w:p>
    <w:tbl>
      <w:tblPr>
        <w:tblpPr w:leftFromText="180" w:rightFromText="180" w:vertAnchor="text" w:horzAnchor="page" w:tblpX="2029" w:tblpY="3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845"/>
      </w:tblGrid>
      <w:tr w:rsidR="00883492" w:rsidRPr="00883492" w14:paraId="325A2443" w14:textId="77777777" w:rsidTr="003E4E41">
        <w:tc>
          <w:tcPr>
            <w:tcW w:w="2088" w:type="dxa"/>
            <w:shd w:val="clear" w:color="auto" w:fill="auto"/>
          </w:tcPr>
          <w:p w14:paraId="19A53D0A" w14:textId="77777777" w:rsidR="00883492" w:rsidRPr="00883492" w:rsidRDefault="00883492" w:rsidP="00883492">
            <w:pPr>
              <w:jc w:val="right"/>
              <w:rPr>
                <w:rFonts w:ascii="Arial" w:hAnsi="Arial" w:cs="Arial"/>
                <w:sz w:val="20"/>
              </w:rPr>
            </w:pPr>
            <w:r w:rsidRPr="00883492">
              <w:rPr>
                <w:rFonts w:ascii="Arial" w:hAnsi="Arial" w:cs="Arial"/>
                <w:sz w:val="20"/>
              </w:rPr>
              <w:t>Version</w:t>
            </w:r>
          </w:p>
        </w:tc>
        <w:tc>
          <w:tcPr>
            <w:tcW w:w="5845" w:type="dxa"/>
            <w:shd w:val="clear" w:color="auto" w:fill="auto"/>
          </w:tcPr>
          <w:p w14:paraId="7323755B" w14:textId="77777777" w:rsidR="00883492" w:rsidRPr="00883492" w:rsidRDefault="00883492" w:rsidP="00883492">
            <w:pPr>
              <w:rPr>
                <w:rFonts w:ascii="Arial" w:hAnsi="Arial" w:cs="Arial"/>
                <w:i/>
                <w:sz w:val="20"/>
              </w:rPr>
            </w:pPr>
            <w:r w:rsidRPr="00883492">
              <w:rPr>
                <w:rFonts w:ascii="Arial" w:hAnsi="Arial" w:cs="Arial"/>
                <w:i/>
                <w:sz w:val="20"/>
              </w:rPr>
              <w:t>2</w:t>
            </w:r>
          </w:p>
        </w:tc>
      </w:tr>
      <w:tr w:rsidR="00883492" w:rsidRPr="00883492" w14:paraId="33C3B2CD" w14:textId="77777777" w:rsidTr="003E4E41">
        <w:tc>
          <w:tcPr>
            <w:tcW w:w="2088" w:type="dxa"/>
            <w:shd w:val="clear" w:color="auto" w:fill="auto"/>
          </w:tcPr>
          <w:p w14:paraId="472DF016" w14:textId="77777777" w:rsidR="00883492" w:rsidRPr="00883492" w:rsidRDefault="00883492" w:rsidP="00883492">
            <w:pPr>
              <w:rPr>
                <w:rFonts w:ascii="Arial" w:hAnsi="Arial" w:cs="Arial"/>
                <w:sz w:val="20"/>
              </w:rPr>
            </w:pPr>
            <w:r w:rsidRPr="00883492">
              <w:rPr>
                <w:rFonts w:ascii="Arial" w:hAnsi="Arial" w:cs="Arial"/>
                <w:sz w:val="20"/>
              </w:rPr>
              <w:t>Prepared by</w:t>
            </w:r>
          </w:p>
        </w:tc>
        <w:tc>
          <w:tcPr>
            <w:tcW w:w="5845" w:type="dxa"/>
            <w:shd w:val="clear" w:color="auto" w:fill="auto"/>
          </w:tcPr>
          <w:p w14:paraId="48605C5A" w14:textId="77777777" w:rsidR="00883492" w:rsidRPr="00883492" w:rsidRDefault="00883492" w:rsidP="00883492">
            <w:pPr>
              <w:rPr>
                <w:rFonts w:ascii="Arial" w:hAnsi="Arial" w:cs="Arial"/>
                <w:i/>
                <w:sz w:val="20"/>
              </w:rPr>
            </w:pPr>
            <w:r w:rsidRPr="00883492">
              <w:rPr>
                <w:rFonts w:ascii="Arial" w:hAnsi="Arial" w:cs="Arial"/>
                <w:i/>
                <w:sz w:val="20"/>
              </w:rPr>
              <w:t>Policy Officer/Neighbourhood Services Manager</w:t>
            </w:r>
          </w:p>
        </w:tc>
      </w:tr>
      <w:tr w:rsidR="00883492" w:rsidRPr="00883492" w14:paraId="574C45C5" w14:textId="77777777" w:rsidTr="003E4E41">
        <w:tc>
          <w:tcPr>
            <w:tcW w:w="2088" w:type="dxa"/>
            <w:shd w:val="clear" w:color="auto" w:fill="auto"/>
          </w:tcPr>
          <w:p w14:paraId="75AF2E99" w14:textId="77777777" w:rsidR="00883492" w:rsidRPr="00883492" w:rsidRDefault="00883492" w:rsidP="00883492">
            <w:pPr>
              <w:rPr>
                <w:rFonts w:ascii="Arial" w:hAnsi="Arial" w:cs="Arial"/>
                <w:sz w:val="20"/>
              </w:rPr>
            </w:pPr>
            <w:r w:rsidRPr="00883492">
              <w:rPr>
                <w:rFonts w:ascii="Arial" w:hAnsi="Arial" w:cs="Arial"/>
                <w:sz w:val="20"/>
              </w:rPr>
              <w:t>Approved by</w:t>
            </w:r>
          </w:p>
        </w:tc>
        <w:tc>
          <w:tcPr>
            <w:tcW w:w="5845" w:type="dxa"/>
            <w:shd w:val="clear" w:color="auto" w:fill="auto"/>
          </w:tcPr>
          <w:p w14:paraId="5C9B9266" w14:textId="6C4E5285" w:rsidR="00883492" w:rsidRPr="00883492" w:rsidRDefault="003E4E41" w:rsidP="00883492">
            <w:pPr>
              <w:rPr>
                <w:rFonts w:ascii="Arial" w:hAnsi="Arial" w:cs="Arial"/>
                <w:i/>
                <w:sz w:val="20"/>
              </w:rPr>
            </w:pPr>
            <w:r>
              <w:rPr>
                <w:rFonts w:ascii="Arial" w:hAnsi="Arial" w:cs="Arial"/>
                <w:i/>
                <w:sz w:val="20"/>
              </w:rPr>
              <w:t>Housing Services Director</w:t>
            </w:r>
          </w:p>
        </w:tc>
      </w:tr>
      <w:tr w:rsidR="00883492" w:rsidRPr="00883492" w14:paraId="11740765" w14:textId="77777777" w:rsidTr="003E4E41">
        <w:tc>
          <w:tcPr>
            <w:tcW w:w="2088" w:type="dxa"/>
            <w:shd w:val="clear" w:color="auto" w:fill="auto"/>
          </w:tcPr>
          <w:p w14:paraId="241D73EE" w14:textId="77777777" w:rsidR="00883492" w:rsidRPr="00883492" w:rsidRDefault="00883492" w:rsidP="00883492">
            <w:pPr>
              <w:rPr>
                <w:rFonts w:ascii="Arial" w:hAnsi="Arial" w:cs="Arial"/>
                <w:sz w:val="20"/>
              </w:rPr>
            </w:pPr>
            <w:r w:rsidRPr="00883492">
              <w:rPr>
                <w:rFonts w:ascii="Arial" w:hAnsi="Arial" w:cs="Arial"/>
                <w:sz w:val="20"/>
              </w:rPr>
              <w:t>Approved date</w:t>
            </w:r>
          </w:p>
        </w:tc>
        <w:tc>
          <w:tcPr>
            <w:tcW w:w="5845" w:type="dxa"/>
            <w:shd w:val="clear" w:color="auto" w:fill="auto"/>
          </w:tcPr>
          <w:p w14:paraId="18F53161" w14:textId="1C05D063" w:rsidR="00883492" w:rsidRPr="00883492" w:rsidRDefault="003E4E41" w:rsidP="00883492">
            <w:pPr>
              <w:rPr>
                <w:rFonts w:ascii="Arial" w:hAnsi="Arial" w:cs="Arial"/>
                <w:i/>
                <w:sz w:val="20"/>
              </w:rPr>
            </w:pPr>
            <w:r>
              <w:rPr>
                <w:rFonts w:ascii="Arial" w:hAnsi="Arial" w:cs="Arial"/>
                <w:i/>
                <w:sz w:val="20"/>
              </w:rPr>
              <w:t>June</w:t>
            </w:r>
            <w:r w:rsidR="00883492">
              <w:rPr>
                <w:rFonts w:ascii="Arial" w:hAnsi="Arial" w:cs="Arial"/>
                <w:i/>
                <w:sz w:val="20"/>
              </w:rPr>
              <w:t xml:space="preserve"> 2021</w:t>
            </w:r>
          </w:p>
        </w:tc>
      </w:tr>
      <w:tr w:rsidR="00883492" w:rsidRPr="00883492" w14:paraId="049FADE4" w14:textId="77777777" w:rsidTr="003E4E41">
        <w:tc>
          <w:tcPr>
            <w:tcW w:w="2088" w:type="dxa"/>
            <w:shd w:val="clear" w:color="auto" w:fill="auto"/>
          </w:tcPr>
          <w:p w14:paraId="2B4C672A" w14:textId="77777777" w:rsidR="00883492" w:rsidRPr="00883492" w:rsidRDefault="00883492" w:rsidP="00883492">
            <w:pPr>
              <w:rPr>
                <w:rFonts w:ascii="Arial" w:hAnsi="Arial" w:cs="Arial"/>
                <w:sz w:val="20"/>
              </w:rPr>
            </w:pPr>
            <w:r w:rsidRPr="00883492">
              <w:rPr>
                <w:rFonts w:ascii="Arial" w:hAnsi="Arial" w:cs="Arial"/>
                <w:sz w:val="20"/>
              </w:rPr>
              <w:t>Date of last review</w:t>
            </w:r>
          </w:p>
        </w:tc>
        <w:tc>
          <w:tcPr>
            <w:tcW w:w="5845" w:type="dxa"/>
            <w:shd w:val="clear" w:color="auto" w:fill="auto"/>
          </w:tcPr>
          <w:p w14:paraId="2D1E75F3" w14:textId="77777777" w:rsidR="00883492" w:rsidRPr="00883492" w:rsidRDefault="00883492" w:rsidP="00883492">
            <w:pPr>
              <w:rPr>
                <w:rFonts w:ascii="Arial" w:hAnsi="Arial" w:cs="Arial"/>
                <w:i/>
                <w:sz w:val="20"/>
              </w:rPr>
            </w:pPr>
            <w:r w:rsidRPr="00883492">
              <w:rPr>
                <w:rFonts w:ascii="Arial" w:hAnsi="Arial" w:cs="Arial"/>
                <w:i/>
                <w:sz w:val="20"/>
              </w:rPr>
              <w:t>2017</w:t>
            </w:r>
          </w:p>
        </w:tc>
      </w:tr>
      <w:tr w:rsidR="00883492" w:rsidRPr="00883492" w14:paraId="209C6668" w14:textId="77777777" w:rsidTr="003E4E41">
        <w:tc>
          <w:tcPr>
            <w:tcW w:w="2088" w:type="dxa"/>
            <w:shd w:val="clear" w:color="auto" w:fill="auto"/>
          </w:tcPr>
          <w:p w14:paraId="7CDEC9A8" w14:textId="77777777" w:rsidR="00883492" w:rsidRPr="00883492" w:rsidRDefault="00883492" w:rsidP="00883492">
            <w:pPr>
              <w:rPr>
                <w:rFonts w:ascii="Arial" w:hAnsi="Arial" w:cs="Arial"/>
                <w:sz w:val="20"/>
              </w:rPr>
            </w:pPr>
            <w:r w:rsidRPr="00883492">
              <w:rPr>
                <w:rFonts w:ascii="Arial" w:hAnsi="Arial" w:cs="Arial"/>
                <w:sz w:val="20"/>
              </w:rPr>
              <w:t>Document Owner</w:t>
            </w:r>
          </w:p>
        </w:tc>
        <w:tc>
          <w:tcPr>
            <w:tcW w:w="5845" w:type="dxa"/>
            <w:shd w:val="clear" w:color="auto" w:fill="auto"/>
          </w:tcPr>
          <w:p w14:paraId="09EB3D54" w14:textId="06A63AC2" w:rsidR="00883492" w:rsidRPr="00883492" w:rsidRDefault="003E4E41" w:rsidP="00883492">
            <w:pPr>
              <w:rPr>
                <w:rFonts w:ascii="Arial" w:hAnsi="Arial" w:cs="Arial"/>
                <w:i/>
                <w:sz w:val="20"/>
              </w:rPr>
            </w:pPr>
            <w:r>
              <w:rPr>
                <w:rFonts w:ascii="Arial" w:hAnsi="Arial" w:cs="Arial"/>
                <w:i/>
                <w:sz w:val="20"/>
              </w:rPr>
              <w:t>Housing Services Director</w:t>
            </w:r>
          </w:p>
        </w:tc>
      </w:tr>
      <w:tr w:rsidR="00883492" w:rsidRPr="00883492" w14:paraId="3857487F" w14:textId="77777777" w:rsidTr="003E4E41">
        <w:tc>
          <w:tcPr>
            <w:tcW w:w="2088" w:type="dxa"/>
            <w:shd w:val="clear" w:color="auto" w:fill="auto"/>
          </w:tcPr>
          <w:p w14:paraId="2B1161AC" w14:textId="77777777" w:rsidR="00883492" w:rsidRPr="00883492" w:rsidRDefault="00883492" w:rsidP="00883492">
            <w:pPr>
              <w:rPr>
                <w:rFonts w:ascii="Arial" w:hAnsi="Arial" w:cs="Arial"/>
                <w:sz w:val="20"/>
              </w:rPr>
            </w:pPr>
            <w:r w:rsidRPr="00883492">
              <w:rPr>
                <w:rFonts w:ascii="Arial" w:hAnsi="Arial" w:cs="Arial"/>
                <w:sz w:val="20"/>
              </w:rPr>
              <w:t>Date of Next Review</w:t>
            </w:r>
          </w:p>
        </w:tc>
        <w:tc>
          <w:tcPr>
            <w:tcW w:w="5845" w:type="dxa"/>
            <w:shd w:val="clear" w:color="auto" w:fill="auto"/>
          </w:tcPr>
          <w:p w14:paraId="54DCDEAC" w14:textId="05F5A8DA" w:rsidR="00883492" w:rsidRPr="00883492" w:rsidRDefault="003E4E41" w:rsidP="00883492">
            <w:pPr>
              <w:rPr>
                <w:rFonts w:ascii="Arial" w:hAnsi="Arial" w:cs="Arial"/>
                <w:i/>
                <w:sz w:val="20"/>
              </w:rPr>
            </w:pPr>
            <w:r>
              <w:rPr>
                <w:rFonts w:ascii="Arial" w:hAnsi="Arial" w:cs="Arial"/>
                <w:i/>
                <w:sz w:val="20"/>
              </w:rPr>
              <w:t>June</w:t>
            </w:r>
            <w:r w:rsidR="00883492" w:rsidRPr="00883492">
              <w:rPr>
                <w:rFonts w:ascii="Arial" w:hAnsi="Arial" w:cs="Arial"/>
                <w:i/>
                <w:sz w:val="20"/>
              </w:rPr>
              <w:t xml:space="preserve"> 2024</w:t>
            </w:r>
          </w:p>
        </w:tc>
      </w:tr>
      <w:tr w:rsidR="00883492" w:rsidRPr="00883492" w14:paraId="5D1325FC" w14:textId="77777777" w:rsidTr="003E4E41">
        <w:tc>
          <w:tcPr>
            <w:tcW w:w="2088" w:type="dxa"/>
            <w:shd w:val="clear" w:color="auto" w:fill="auto"/>
          </w:tcPr>
          <w:p w14:paraId="07850C14" w14:textId="77777777" w:rsidR="00883492" w:rsidRPr="00883492" w:rsidRDefault="00883492" w:rsidP="00883492">
            <w:pPr>
              <w:rPr>
                <w:rFonts w:ascii="Arial" w:hAnsi="Arial" w:cs="Arial"/>
                <w:sz w:val="20"/>
              </w:rPr>
            </w:pPr>
            <w:r w:rsidRPr="00883492">
              <w:rPr>
                <w:rFonts w:ascii="Arial" w:hAnsi="Arial" w:cs="Arial"/>
                <w:sz w:val="20"/>
              </w:rPr>
              <w:t>Lines of Defence/how is the document audited?</w:t>
            </w:r>
          </w:p>
        </w:tc>
        <w:tc>
          <w:tcPr>
            <w:tcW w:w="5845" w:type="dxa"/>
            <w:shd w:val="clear" w:color="auto" w:fill="auto"/>
          </w:tcPr>
          <w:p w14:paraId="162D09E0" w14:textId="77777777" w:rsidR="00883492" w:rsidRPr="00883492" w:rsidRDefault="00883492" w:rsidP="00883492">
            <w:pPr>
              <w:rPr>
                <w:rFonts w:ascii="Arial" w:hAnsi="Arial" w:cs="Arial"/>
                <w:i/>
                <w:sz w:val="20"/>
              </w:rPr>
            </w:pPr>
            <w:r w:rsidRPr="00883492">
              <w:rPr>
                <w:rFonts w:ascii="Arial" w:hAnsi="Arial" w:cs="Arial"/>
                <w:i/>
                <w:sz w:val="20"/>
              </w:rPr>
              <w:t>This should show how the document gives assurance against risk for example</w:t>
            </w:r>
          </w:p>
          <w:p w14:paraId="58E0891A" w14:textId="77777777" w:rsidR="00883492" w:rsidRPr="00883492" w:rsidRDefault="00883492" w:rsidP="00883492">
            <w:pPr>
              <w:pStyle w:val="ListParagraph"/>
              <w:numPr>
                <w:ilvl w:val="0"/>
                <w:numId w:val="12"/>
              </w:numPr>
              <w:overflowPunct/>
              <w:autoSpaceDE/>
              <w:autoSpaceDN/>
              <w:adjustRightInd/>
              <w:spacing w:after="200" w:line="276" w:lineRule="auto"/>
              <w:textAlignment w:val="auto"/>
              <w:rPr>
                <w:rFonts w:cs="Arial"/>
                <w:i/>
                <w:sz w:val="20"/>
              </w:rPr>
            </w:pPr>
            <w:r w:rsidRPr="00883492">
              <w:rPr>
                <w:rFonts w:cs="Arial"/>
                <w:i/>
                <w:sz w:val="20"/>
              </w:rPr>
              <w:t xml:space="preserve">Policy approved </w:t>
            </w:r>
          </w:p>
          <w:p w14:paraId="38F88329" w14:textId="77777777" w:rsidR="00883492" w:rsidRPr="00883492" w:rsidRDefault="00883492" w:rsidP="00883492">
            <w:pPr>
              <w:pStyle w:val="ListParagraph"/>
              <w:numPr>
                <w:ilvl w:val="0"/>
                <w:numId w:val="12"/>
              </w:numPr>
              <w:overflowPunct/>
              <w:autoSpaceDE/>
              <w:autoSpaceDN/>
              <w:adjustRightInd/>
              <w:spacing w:after="200" w:line="276" w:lineRule="auto"/>
              <w:textAlignment w:val="auto"/>
              <w:rPr>
                <w:rFonts w:cs="Arial"/>
                <w:i/>
                <w:sz w:val="20"/>
              </w:rPr>
            </w:pPr>
            <w:r w:rsidRPr="00883492">
              <w:rPr>
                <w:rFonts w:cs="Arial"/>
                <w:i/>
                <w:sz w:val="20"/>
              </w:rPr>
              <w:t xml:space="preserve">Training to staff </w:t>
            </w:r>
          </w:p>
          <w:p w14:paraId="30CC9822" w14:textId="114CCF56" w:rsidR="00883492" w:rsidRPr="00883492" w:rsidRDefault="00883492" w:rsidP="00883492">
            <w:pPr>
              <w:pStyle w:val="ListParagraph"/>
              <w:numPr>
                <w:ilvl w:val="0"/>
                <w:numId w:val="12"/>
              </w:numPr>
              <w:overflowPunct/>
              <w:autoSpaceDE/>
              <w:autoSpaceDN/>
              <w:adjustRightInd/>
              <w:spacing w:after="200" w:line="276" w:lineRule="auto"/>
              <w:textAlignment w:val="auto"/>
              <w:rPr>
                <w:rFonts w:cs="Arial"/>
                <w:i/>
                <w:sz w:val="20"/>
              </w:rPr>
            </w:pPr>
            <w:r w:rsidRPr="00883492">
              <w:rPr>
                <w:rFonts w:cs="Arial"/>
                <w:i/>
                <w:sz w:val="20"/>
              </w:rPr>
              <w:t xml:space="preserve">Manager checks </w:t>
            </w:r>
            <w:r w:rsidR="003E4E41">
              <w:rPr>
                <w:rFonts w:cs="Arial"/>
                <w:i/>
                <w:sz w:val="20"/>
              </w:rPr>
              <w:t>via 1:1s</w:t>
            </w:r>
          </w:p>
          <w:p w14:paraId="33F51AD5" w14:textId="592DC18F" w:rsidR="00883492" w:rsidRPr="00883492" w:rsidRDefault="00883492" w:rsidP="00883492">
            <w:pPr>
              <w:pStyle w:val="ListParagraph"/>
              <w:numPr>
                <w:ilvl w:val="0"/>
                <w:numId w:val="12"/>
              </w:numPr>
              <w:overflowPunct/>
              <w:autoSpaceDE/>
              <w:autoSpaceDN/>
              <w:adjustRightInd/>
              <w:spacing w:after="200" w:line="276" w:lineRule="auto"/>
              <w:textAlignment w:val="auto"/>
              <w:rPr>
                <w:rFonts w:cs="Arial"/>
                <w:i/>
                <w:sz w:val="20"/>
              </w:rPr>
            </w:pPr>
            <w:r>
              <w:rPr>
                <w:rFonts w:cs="Arial"/>
                <w:i/>
                <w:sz w:val="20"/>
              </w:rPr>
              <w:t>Internal audit programme?</w:t>
            </w:r>
          </w:p>
        </w:tc>
      </w:tr>
    </w:tbl>
    <w:p w14:paraId="576E8750" w14:textId="296D3E62" w:rsidR="00883492" w:rsidRDefault="00883492" w:rsidP="00883492">
      <w:pPr>
        <w:ind w:firstLine="720"/>
        <w:jc w:val="center"/>
        <w:rPr>
          <w:rFonts w:ascii="Arial" w:hAnsi="Arial" w:cs="Arial"/>
          <w:b/>
          <w:sz w:val="56"/>
          <w:szCs w:val="56"/>
        </w:rPr>
      </w:pPr>
      <w:r>
        <w:rPr>
          <w:rFonts w:ascii="Arial" w:hAnsi="Arial" w:cs="Arial"/>
          <w:b/>
          <w:sz w:val="56"/>
          <w:szCs w:val="56"/>
        </w:rPr>
        <w:t xml:space="preserve">Residents in </w:t>
      </w:r>
      <w:r w:rsidR="00B60170">
        <w:rPr>
          <w:rFonts w:ascii="Arial" w:hAnsi="Arial" w:cs="Arial"/>
          <w:b/>
          <w:sz w:val="56"/>
          <w:szCs w:val="56"/>
        </w:rPr>
        <w:t>p</w:t>
      </w:r>
      <w:r>
        <w:rPr>
          <w:rFonts w:ascii="Arial" w:hAnsi="Arial" w:cs="Arial"/>
          <w:b/>
          <w:sz w:val="56"/>
          <w:szCs w:val="56"/>
        </w:rPr>
        <w:t>rison</w:t>
      </w:r>
      <w:r w:rsidRPr="009F43AC">
        <w:rPr>
          <w:rFonts w:ascii="Arial" w:hAnsi="Arial" w:cs="Arial"/>
          <w:b/>
          <w:sz w:val="56"/>
          <w:szCs w:val="56"/>
        </w:rPr>
        <w:t xml:space="preserve"> </w:t>
      </w:r>
      <w:r w:rsidR="00B60170">
        <w:rPr>
          <w:rFonts w:ascii="Arial" w:hAnsi="Arial" w:cs="Arial"/>
          <w:b/>
          <w:sz w:val="56"/>
          <w:szCs w:val="56"/>
        </w:rPr>
        <w:t>p</w:t>
      </w:r>
      <w:r w:rsidRPr="009F43AC">
        <w:rPr>
          <w:rFonts w:ascii="Arial" w:hAnsi="Arial" w:cs="Arial"/>
          <w:b/>
          <w:sz w:val="56"/>
          <w:szCs w:val="56"/>
        </w:rPr>
        <w:t>olicy</w:t>
      </w:r>
      <w:r>
        <w:rPr>
          <w:rFonts w:ascii="Arial" w:hAnsi="Arial" w:cs="Arial"/>
          <w:b/>
          <w:sz w:val="56"/>
          <w:szCs w:val="56"/>
        </w:rPr>
        <w:t xml:space="preserve"> 2021</w:t>
      </w:r>
    </w:p>
    <w:p w14:paraId="02597EE7" w14:textId="77777777" w:rsidR="00883492" w:rsidRDefault="00883492">
      <w:pPr>
        <w:rPr>
          <w:rFonts w:ascii="Arial" w:hAnsi="Arial" w:cs="Arial"/>
          <w:b/>
          <w:bCs/>
          <w:sz w:val="24"/>
          <w:szCs w:val="24"/>
        </w:rPr>
      </w:pPr>
      <w:r>
        <w:rPr>
          <w:rFonts w:ascii="Arial" w:hAnsi="Arial" w:cs="Arial"/>
          <w:b/>
          <w:bCs/>
          <w:sz w:val="24"/>
          <w:szCs w:val="24"/>
        </w:rPr>
        <w:br w:type="page"/>
      </w:r>
    </w:p>
    <w:p w14:paraId="15B908F6" w14:textId="27339EA2" w:rsidR="004546F6" w:rsidRPr="001F6934" w:rsidRDefault="004546F6" w:rsidP="004546F6">
      <w:pPr>
        <w:spacing w:line="276" w:lineRule="auto"/>
        <w:rPr>
          <w:rFonts w:ascii="Arial" w:hAnsi="Arial" w:cs="Arial"/>
          <w:b/>
          <w:bCs/>
          <w:sz w:val="24"/>
          <w:szCs w:val="24"/>
        </w:rPr>
      </w:pPr>
      <w:r w:rsidRPr="001F6934">
        <w:rPr>
          <w:rFonts w:ascii="Arial" w:hAnsi="Arial" w:cs="Arial"/>
          <w:b/>
          <w:bCs/>
          <w:sz w:val="24"/>
          <w:szCs w:val="24"/>
        </w:rPr>
        <w:t>Hexagon Housing Association</w:t>
      </w:r>
    </w:p>
    <w:p w14:paraId="797E5F79" w14:textId="404D4F32" w:rsidR="004546F6" w:rsidRDefault="004546F6" w:rsidP="004546F6">
      <w:pPr>
        <w:spacing w:line="276" w:lineRule="auto"/>
        <w:rPr>
          <w:rFonts w:ascii="Arial" w:hAnsi="Arial" w:cs="Arial"/>
          <w:b/>
          <w:bCs/>
          <w:sz w:val="24"/>
          <w:szCs w:val="24"/>
        </w:rPr>
      </w:pPr>
      <w:r w:rsidRPr="001F6934">
        <w:rPr>
          <w:rFonts w:ascii="Arial" w:hAnsi="Arial" w:cs="Arial"/>
          <w:b/>
          <w:bCs/>
          <w:sz w:val="24"/>
          <w:szCs w:val="24"/>
        </w:rPr>
        <w:t xml:space="preserve">Residents in </w:t>
      </w:r>
      <w:r w:rsidR="00B60170">
        <w:rPr>
          <w:rFonts w:ascii="Arial" w:hAnsi="Arial" w:cs="Arial"/>
          <w:b/>
          <w:bCs/>
          <w:sz w:val="24"/>
          <w:szCs w:val="24"/>
        </w:rPr>
        <w:t>p</w:t>
      </w:r>
      <w:r w:rsidRPr="001F6934">
        <w:rPr>
          <w:rFonts w:ascii="Arial" w:hAnsi="Arial" w:cs="Arial"/>
          <w:b/>
          <w:bCs/>
          <w:sz w:val="24"/>
          <w:szCs w:val="24"/>
        </w:rPr>
        <w:t xml:space="preserve">rison </w:t>
      </w:r>
      <w:r w:rsidR="00B60170">
        <w:rPr>
          <w:rFonts w:ascii="Arial" w:hAnsi="Arial" w:cs="Arial"/>
          <w:b/>
          <w:bCs/>
          <w:sz w:val="24"/>
          <w:szCs w:val="24"/>
        </w:rPr>
        <w:t>p</w:t>
      </w:r>
      <w:r w:rsidRPr="001F6934">
        <w:rPr>
          <w:rFonts w:ascii="Arial" w:hAnsi="Arial" w:cs="Arial"/>
          <w:b/>
          <w:bCs/>
          <w:sz w:val="24"/>
          <w:szCs w:val="24"/>
        </w:rPr>
        <w:t>olicy</w:t>
      </w:r>
      <w:r w:rsidR="001A6D10">
        <w:rPr>
          <w:rFonts w:ascii="Arial" w:hAnsi="Arial" w:cs="Arial"/>
          <w:b/>
          <w:bCs/>
          <w:sz w:val="24"/>
          <w:szCs w:val="24"/>
        </w:rPr>
        <w:t xml:space="preserve"> 2021</w:t>
      </w:r>
    </w:p>
    <w:p w14:paraId="1A2B9A62" w14:textId="77777777" w:rsidR="001F6934" w:rsidRPr="001F6934" w:rsidRDefault="001F6934" w:rsidP="004546F6">
      <w:pPr>
        <w:spacing w:line="276" w:lineRule="auto"/>
        <w:rPr>
          <w:rFonts w:ascii="Arial" w:hAnsi="Arial" w:cs="Arial"/>
          <w:b/>
          <w:bCs/>
          <w:sz w:val="24"/>
          <w:szCs w:val="24"/>
        </w:rPr>
      </w:pPr>
    </w:p>
    <w:p w14:paraId="6B09CE4A" w14:textId="5BA9A202" w:rsidR="004546F6" w:rsidRPr="00B60170" w:rsidRDefault="004546F6" w:rsidP="004546F6">
      <w:pPr>
        <w:spacing w:line="276" w:lineRule="auto"/>
        <w:rPr>
          <w:rFonts w:ascii="Arial" w:hAnsi="Arial" w:cs="Arial"/>
          <w:b/>
          <w:bCs/>
          <w:sz w:val="24"/>
          <w:szCs w:val="24"/>
        </w:rPr>
      </w:pPr>
      <w:r w:rsidRPr="001F6934">
        <w:rPr>
          <w:rFonts w:ascii="Arial" w:hAnsi="Arial" w:cs="Arial"/>
          <w:b/>
          <w:bCs/>
          <w:sz w:val="24"/>
          <w:szCs w:val="24"/>
        </w:rPr>
        <w:t>1.0</w:t>
      </w:r>
      <w:r w:rsidRPr="001F6934">
        <w:rPr>
          <w:rFonts w:ascii="Arial" w:hAnsi="Arial" w:cs="Arial"/>
          <w:b/>
          <w:bCs/>
          <w:sz w:val="24"/>
          <w:szCs w:val="24"/>
        </w:rPr>
        <w:tab/>
      </w:r>
      <w:r w:rsidRPr="00B60170">
        <w:rPr>
          <w:rFonts w:ascii="Arial" w:hAnsi="Arial" w:cs="Arial"/>
          <w:b/>
          <w:bCs/>
          <w:sz w:val="24"/>
          <w:szCs w:val="24"/>
        </w:rPr>
        <w:t>Scope</w:t>
      </w:r>
    </w:p>
    <w:p w14:paraId="11FF4FD8" w14:textId="77777777" w:rsidR="00143878" w:rsidRPr="00B60170" w:rsidRDefault="001F6934" w:rsidP="001F6934">
      <w:pPr>
        <w:spacing w:line="276" w:lineRule="auto"/>
        <w:ind w:left="720" w:hanging="720"/>
        <w:rPr>
          <w:rFonts w:ascii="Arial" w:hAnsi="Arial" w:cs="Arial"/>
          <w:sz w:val="24"/>
          <w:szCs w:val="24"/>
        </w:rPr>
      </w:pPr>
      <w:r w:rsidRPr="00B60170">
        <w:rPr>
          <w:rFonts w:ascii="Arial" w:hAnsi="Arial" w:cs="Arial"/>
          <w:sz w:val="24"/>
          <w:szCs w:val="24"/>
        </w:rPr>
        <w:t>1.1</w:t>
      </w:r>
      <w:r w:rsidRPr="00B60170">
        <w:rPr>
          <w:rFonts w:ascii="Arial" w:hAnsi="Arial" w:cs="Arial"/>
          <w:sz w:val="24"/>
          <w:szCs w:val="24"/>
        </w:rPr>
        <w:tab/>
      </w:r>
      <w:r w:rsidR="004546F6" w:rsidRPr="00B60170">
        <w:rPr>
          <w:rFonts w:ascii="Arial" w:hAnsi="Arial" w:cs="Arial"/>
          <w:sz w:val="24"/>
          <w:szCs w:val="24"/>
        </w:rPr>
        <w:t>This policy covers when a resident</w:t>
      </w:r>
      <w:r w:rsidR="00BA7794" w:rsidRPr="00B60170">
        <w:rPr>
          <w:rFonts w:ascii="Arial" w:hAnsi="Arial" w:cs="Arial"/>
          <w:sz w:val="24"/>
          <w:szCs w:val="24"/>
        </w:rPr>
        <w:t xml:space="preserve"> with a tenancy</w:t>
      </w:r>
      <w:r w:rsidR="004546F6" w:rsidRPr="00B60170">
        <w:rPr>
          <w:rFonts w:ascii="Arial" w:hAnsi="Arial" w:cs="Arial"/>
          <w:sz w:val="24"/>
          <w:szCs w:val="24"/>
        </w:rPr>
        <w:t xml:space="preserve"> is sentenced or remanded to prison.  </w:t>
      </w:r>
    </w:p>
    <w:p w14:paraId="1C827074" w14:textId="2C8C0196" w:rsidR="00143878" w:rsidRPr="00B60170" w:rsidRDefault="00143878" w:rsidP="001F6934">
      <w:pPr>
        <w:spacing w:line="276" w:lineRule="auto"/>
        <w:ind w:left="720" w:hanging="720"/>
        <w:rPr>
          <w:rFonts w:ascii="Arial" w:hAnsi="Arial" w:cs="Arial"/>
          <w:b/>
          <w:bCs/>
          <w:sz w:val="24"/>
          <w:szCs w:val="24"/>
        </w:rPr>
      </w:pPr>
      <w:r w:rsidRPr="00B60170">
        <w:rPr>
          <w:rFonts w:ascii="Arial" w:hAnsi="Arial" w:cs="Arial"/>
          <w:b/>
          <w:bCs/>
          <w:sz w:val="24"/>
          <w:szCs w:val="24"/>
        </w:rPr>
        <w:t>2.0</w:t>
      </w:r>
      <w:r w:rsidRPr="00B60170">
        <w:rPr>
          <w:rFonts w:ascii="Arial" w:hAnsi="Arial" w:cs="Arial"/>
          <w:b/>
          <w:bCs/>
          <w:sz w:val="24"/>
          <w:szCs w:val="24"/>
        </w:rPr>
        <w:tab/>
        <w:t>Aims of the policy</w:t>
      </w:r>
    </w:p>
    <w:p w14:paraId="79F0D2B3" w14:textId="03155436" w:rsidR="004068A6" w:rsidRPr="00B60170" w:rsidRDefault="003E62F1" w:rsidP="004068A6">
      <w:pPr>
        <w:spacing w:line="276" w:lineRule="auto"/>
        <w:ind w:left="720" w:hanging="720"/>
        <w:rPr>
          <w:rFonts w:ascii="Arial" w:hAnsi="Arial" w:cs="Arial"/>
          <w:sz w:val="24"/>
          <w:szCs w:val="24"/>
        </w:rPr>
      </w:pPr>
      <w:r w:rsidRPr="00B60170">
        <w:rPr>
          <w:rFonts w:ascii="Arial" w:hAnsi="Arial" w:cs="Arial"/>
          <w:sz w:val="24"/>
          <w:szCs w:val="24"/>
        </w:rPr>
        <w:t>2.1</w:t>
      </w:r>
      <w:r w:rsidRPr="00B60170">
        <w:rPr>
          <w:rFonts w:ascii="Arial" w:hAnsi="Arial" w:cs="Arial"/>
          <w:sz w:val="24"/>
          <w:szCs w:val="24"/>
        </w:rPr>
        <w:tab/>
      </w:r>
      <w:r w:rsidR="004546F6" w:rsidRPr="00B60170">
        <w:rPr>
          <w:rFonts w:ascii="Arial" w:hAnsi="Arial" w:cs="Arial"/>
          <w:sz w:val="24"/>
          <w:szCs w:val="24"/>
        </w:rPr>
        <w:t>Hexagon Housing Association will seek to support an imprisoned resident</w:t>
      </w:r>
      <w:r w:rsidR="00BA7794" w:rsidRPr="00B60170">
        <w:rPr>
          <w:rFonts w:ascii="Arial" w:hAnsi="Arial" w:cs="Arial"/>
          <w:sz w:val="24"/>
          <w:szCs w:val="24"/>
        </w:rPr>
        <w:t>.  W</w:t>
      </w:r>
      <w:r w:rsidR="001F6934" w:rsidRPr="00B60170">
        <w:rPr>
          <w:rFonts w:ascii="Arial" w:hAnsi="Arial" w:cs="Arial"/>
          <w:sz w:val="24"/>
          <w:szCs w:val="24"/>
        </w:rPr>
        <w:t>here possible,</w:t>
      </w:r>
      <w:r w:rsidR="00BA7794" w:rsidRPr="00B60170">
        <w:rPr>
          <w:rFonts w:ascii="Arial" w:hAnsi="Arial" w:cs="Arial"/>
          <w:sz w:val="24"/>
          <w:szCs w:val="24"/>
        </w:rPr>
        <w:t xml:space="preserve"> this will enable the resident</w:t>
      </w:r>
      <w:r w:rsidR="004546F6" w:rsidRPr="00B60170">
        <w:rPr>
          <w:rFonts w:ascii="Arial" w:hAnsi="Arial" w:cs="Arial"/>
          <w:sz w:val="24"/>
          <w:szCs w:val="24"/>
        </w:rPr>
        <w:t xml:space="preserve"> to maintain their tenancy while in prison, </w:t>
      </w:r>
      <w:r w:rsidR="00BA7794" w:rsidRPr="00B60170">
        <w:rPr>
          <w:rFonts w:ascii="Arial" w:hAnsi="Arial" w:cs="Arial"/>
          <w:sz w:val="24"/>
          <w:szCs w:val="24"/>
        </w:rPr>
        <w:t>so</w:t>
      </w:r>
      <w:r w:rsidR="004546F6" w:rsidRPr="00B60170">
        <w:rPr>
          <w:rFonts w:ascii="Arial" w:hAnsi="Arial" w:cs="Arial"/>
          <w:sz w:val="24"/>
          <w:szCs w:val="24"/>
        </w:rPr>
        <w:t xml:space="preserve"> that they have a home to return to on their release.</w:t>
      </w:r>
    </w:p>
    <w:p w14:paraId="47DF1BA3" w14:textId="736E8CAB" w:rsidR="004546F6" w:rsidRPr="00B60170" w:rsidRDefault="001F6934" w:rsidP="001F6934">
      <w:pPr>
        <w:spacing w:line="276" w:lineRule="auto"/>
        <w:rPr>
          <w:rFonts w:ascii="Arial" w:hAnsi="Arial" w:cs="Arial"/>
          <w:sz w:val="24"/>
          <w:szCs w:val="24"/>
        </w:rPr>
      </w:pPr>
      <w:r w:rsidRPr="00B60170">
        <w:rPr>
          <w:rFonts w:ascii="Arial" w:hAnsi="Arial" w:cs="Arial"/>
          <w:sz w:val="24"/>
          <w:szCs w:val="24"/>
        </w:rPr>
        <w:t>2</w:t>
      </w:r>
      <w:r w:rsidR="00143878" w:rsidRPr="00B60170">
        <w:rPr>
          <w:rFonts w:ascii="Arial" w:hAnsi="Arial" w:cs="Arial"/>
          <w:sz w:val="24"/>
          <w:szCs w:val="24"/>
        </w:rPr>
        <w:t>.1</w:t>
      </w:r>
      <w:r w:rsidR="003E62F1" w:rsidRPr="00B60170">
        <w:rPr>
          <w:rFonts w:ascii="Arial" w:hAnsi="Arial" w:cs="Arial"/>
          <w:sz w:val="24"/>
          <w:szCs w:val="24"/>
        </w:rPr>
        <w:t>1</w:t>
      </w:r>
      <w:r w:rsidRPr="00B60170">
        <w:rPr>
          <w:rFonts w:ascii="Arial" w:hAnsi="Arial" w:cs="Arial"/>
          <w:sz w:val="24"/>
          <w:szCs w:val="24"/>
        </w:rPr>
        <w:tab/>
      </w:r>
      <w:r w:rsidR="004546F6" w:rsidRPr="00B60170">
        <w:rPr>
          <w:rFonts w:ascii="Arial" w:hAnsi="Arial" w:cs="Arial"/>
          <w:sz w:val="24"/>
          <w:szCs w:val="24"/>
        </w:rPr>
        <w:t>The exceptions to this general approach will be:</w:t>
      </w:r>
    </w:p>
    <w:p w14:paraId="553426D6" w14:textId="77777777" w:rsidR="004546F6" w:rsidRPr="00B60170" w:rsidRDefault="004546F6" w:rsidP="001F6934">
      <w:pPr>
        <w:pStyle w:val="ListParagraph"/>
        <w:numPr>
          <w:ilvl w:val="0"/>
          <w:numId w:val="7"/>
        </w:numPr>
        <w:spacing w:line="276" w:lineRule="auto"/>
        <w:rPr>
          <w:rFonts w:cs="Arial"/>
          <w:szCs w:val="24"/>
        </w:rPr>
      </w:pPr>
      <w:r w:rsidRPr="00B60170">
        <w:rPr>
          <w:rFonts w:cs="Arial"/>
          <w:szCs w:val="24"/>
        </w:rPr>
        <w:t>Where the offence was itself a breach of the tenancy, examples of this include, although are not restricted to:</w:t>
      </w:r>
    </w:p>
    <w:p w14:paraId="35730858" w14:textId="77777777" w:rsidR="004546F6" w:rsidRPr="00B60170" w:rsidRDefault="004546F6" w:rsidP="001F6934">
      <w:pPr>
        <w:numPr>
          <w:ilvl w:val="0"/>
          <w:numId w:val="1"/>
        </w:numPr>
        <w:overflowPunct w:val="0"/>
        <w:autoSpaceDE w:val="0"/>
        <w:autoSpaceDN w:val="0"/>
        <w:adjustRightInd w:val="0"/>
        <w:spacing w:after="0" w:line="276" w:lineRule="auto"/>
        <w:ind w:left="1363"/>
        <w:textAlignment w:val="baseline"/>
        <w:rPr>
          <w:rFonts w:ascii="Arial" w:hAnsi="Arial" w:cs="Arial"/>
          <w:sz w:val="24"/>
          <w:szCs w:val="24"/>
        </w:rPr>
      </w:pPr>
      <w:r w:rsidRPr="00B60170">
        <w:rPr>
          <w:rFonts w:ascii="Arial" w:hAnsi="Arial" w:cs="Arial"/>
          <w:sz w:val="24"/>
          <w:szCs w:val="24"/>
        </w:rPr>
        <w:t>theft from neighbours</w:t>
      </w:r>
    </w:p>
    <w:p w14:paraId="1913F5EE" w14:textId="77777777" w:rsidR="004546F6" w:rsidRPr="00B60170" w:rsidRDefault="004546F6" w:rsidP="001F6934">
      <w:pPr>
        <w:numPr>
          <w:ilvl w:val="0"/>
          <w:numId w:val="1"/>
        </w:numPr>
        <w:overflowPunct w:val="0"/>
        <w:autoSpaceDE w:val="0"/>
        <w:autoSpaceDN w:val="0"/>
        <w:adjustRightInd w:val="0"/>
        <w:spacing w:after="0" w:line="276" w:lineRule="auto"/>
        <w:ind w:left="1363"/>
        <w:textAlignment w:val="baseline"/>
        <w:rPr>
          <w:rFonts w:ascii="Arial" w:hAnsi="Arial" w:cs="Arial"/>
          <w:sz w:val="24"/>
          <w:szCs w:val="24"/>
        </w:rPr>
      </w:pPr>
      <w:r w:rsidRPr="00B60170">
        <w:rPr>
          <w:rFonts w:ascii="Arial" w:hAnsi="Arial" w:cs="Arial"/>
          <w:sz w:val="24"/>
          <w:szCs w:val="24"/>
        </w:rPr>
        <w:t>attacks on neighbours</w:t>
      </w:r>
    </w:p>
    <w:p w14:paraId="2DCE7CC2" w14:textId="77777777" w:rsidR="004546F6" w:rsidRPr="00B60170" w:rsidRDefault="004546F6" w:rsidP="001F6934">
      <w:pPr>
        <w:numPr>
          <w:ilvl w:val="0"/>
          <w:numId w:val="1"/>
        </w:numPr>
        <w:overflowPunct w:val="0"/>
        <w:autoSpaceDE w:val="0"/>
        <w:autoSpaceDN w:val="0"/>
        <w:adjustRightInd w:val="0"/>
        <w:spacing w:after="0" w:line="276" w:lineRule="auto"/>
        <w:ind w:left="1363"/>
        <w:textAlignment w:val="baseline"/>
        <w:rPr>
          <w:rFonts w:ascii="Arial" w:hAnsi="Arial" w:cs="Arial"/>
          <w:sz w:val="24"/>
          <w:szCs w:val="24"/>
        </w:rPr>
      </w:pPr>
      <w:r w:rsidRPr="00B60170">
        <w:rPr>
          <w:rFonts w:ascii="Arial" w:hAnsi="Arial" w:cs="Arial"/>
          <w:sz w:val="24"/>
          <w:szCs w:val="24"/>
        </w:rPr>
        <w:t>drug dealing from the property</w:t>
      </w:r>
    </w:p>
    <w:p w14:paraId="6594FB63" w14:textId="383CA9BB" w:rsidR="004546F6" w:rsidRPr="00B60170" w:rsidRDefault="004546F6" w:rsidP="001F6934">
      <w:pPr>
        <w:numPr>
          <w:ilvl w:val="0"/>
          <w:numId w:val="1"/>
        </w:numPr>
        <w:overflowPunct w:val="0"/>
        <w:autoSpaceDE w:val="0"/>
        <w:autoSpaceDN w:val="0"/>
        <w:adjustRightInd w:val="0"/>
        <w:spacing w:after="0" w:line="276" w:lineRule="auto"/>
        <w:ind w:left="1363"/>
        <w:textAlignment w:val="baseline"/>
        <w:rPr>
          <w:rFonts w:ascii="Arial" w:hAnsi="Arial" w:cs="Arial"/>
          <w:sz w:val="24"/>
          <w:szCs w:val="24"/>
        </w:rPr>
      </w:pPr>
      <w:r w:rsidRPr="00B60170">
        <w:rPr>
          <w:rFonts w:ascii="Arial" w:hAnsi="Arial" w:cs="Arial"/>
          <w:sz w:val="24"/>
          <w:szCs w:val="24"/>
        </w:rPr>
        <w:t xml:space="preserve">any offence where the association could have obtained a Possession Order in relation to </w:t>
      </w:r>
      <w:r w:rsidR="001A6D10" w:rsidRPr="00B60170">
        <w:rPr>
          <w:rFonts w:ascii="Arial" w:hAnsi="Arial" w:cs="Arial"/>
          <w:sz w:val="24"/>
          <w:szCs w:val="24"/>
        </w:rPr>
        <w:t xml:space="preserve">the offence </w:t>
      </w:r>
      <w:proofErr w:type="gramStart"/>
      <w:r w:rsidRPr="00B60170">
        <w:rPr>
          <w:rFonts w:ascii="Arial" w:hAnsi="Arial" w:cs="Arial"/>
          <w:sz w:val="24"/>
          <w:szCs w:val="24"/>
        </w:rPr>
        <w:t>on the basis of</w:t>
      </w:r>
      <w:proofErr w:type="gramEnd"/>
      <w:r w:rsidRPr="00B60170">
        <w:rPr>
          <w:rFonts w:ascii="Arial" w:hAnsi="Arial" w:cs="Arial"/>
          <w:sz w:val="24"/>
          <w:szCs w:val="24"/>
        </w:rPr>
        <w:t xml:space="preserve"> the available evidence</w:t>
      </w:r>
    </w:p>
    <w:p w14:paraId="2348A978" w14:textId="77777777" w:rsidR="00BA7794" w:rsidRPr="00B60170" w:rsidRDefault="00BA7794" w:rsidP="00BA7794">
      <w:pPr>
        <w:overflowPunct w:val="0"/>
        <w:autoSpaceDE w:val="0"/>
        <w:autoSpaceDN w:val="0"/>
        <w:adjustRightInd w:val="0"/>
        <w:spacing w:after="0" w:line="276" w:lineRule="auto"/>
        <w:ind w:left="1363"/>
        <w:textAlignment w:val="baseline"/>
        <w:rPr>
          <w:rFonts w:ascii="Arial" w:hAnsi="Arial" w:cs="Arial"/>
          <w:sz w:val="24"/>
          <w:szCs w:val="24"/>
        </w:rPr>
      </w:pPr>
    </w:p>
    <w:p w14:paraId="1DE07B18" w14:textId="10E05ECB" w:rsidR="004546F6" w:rsidRPr="00B60170" w:rsidRDefault="004546F6" w:rsidP="001F6934">
      <w:pPr>
        <w:pStyle w:val="ListParagraph"/>
        <w:numPr>
          <w:ilvl w:val="0"/>
          <w:numId w:val="7"/>
        </w:numPr>
        <w:spacing w:line="276" w:lineRule="auto"/>
        <w:rPr>
          <w:rFonts w:cs="Arial"/>
          <w:szCs w:val="24"/>
        </w:rPr>
      </w:pPr>
      <w:r w:rsidRPr="00B60170">
        <w:rPr>
          <w:rFonts w:cs="Arial"/>
          <w:szCs w:val="24"/>
        </w:rPr>
        <w:t>Where the offence is considered to relevant to the accommodation</w:t>
      </w:r>
    </w:p>
    <w:p w14:paraId="0AA150EA" w14:textId="1FE32D97" w:rsidR="004546F6" w:rsidRPr="00B60170" w:rsidRDefault="001F6934" w:rsidP="001F6934">
      <w:pPr>
        <w:spacing w:line="276" w:lineRule="auto"/>
        <w:ind w:left="720" w:hanging="720"/>
        <w:rPr>
          <w:rFonts w:ascii="Arial" w:hAnsi="Arial" w:cs="Arial"/>
          <w:sz w:val="24"/>
          <w:szCs w:val="24"/>
        </w:rPr>
      </w:pPr>
      <w:r w:rsidRPr="00B60170">
        <w:rPr>
          <w:rFonts w:ascii="Arial" w:hAnsi="Arial" w:cs="Arial"/>
          <w:sz w:val="24"/>
          <w:szCs w:val="24"/>
        </w:rPr>
        <w:tab/>
      </w:r>
      <w:r w:rsidR="004546F6" w:rsidRPr="00B60170">
        <w:rPr>
          <w:rFonts w:ascii="Arial" w:hAnsi="Arial" w:cs="Arial"/>
          <w:sz w:val="24"/>
          <w:szCs w:val="24"/>
        </w:rPr>
        <w:t>These two exceptions will be considered separately, if, due to the length of the prison sentence, there is no prospect of the resident returning to the property within 12 months.</w:t>
      </w:r>
    </w:p>
    <w:p w14:paraId="6958B4F9" w14:textId="6AAC8251" w:rsidR="003E62F1" w:rsidRPr="00B60170" w:rsidRDefault="004068A6" w:rsidP="001A6D10">
      <w:pPr>
        <w:spacing w:line="276" w:lineRule="auto"/>
        <w:ind w:left="720" w:hanging="720"/>
        <w:rPr>
          <w:rFonts w:ascii="Arial" w:hAnsi="Arial" w:cs="Arial"/>
          <w:sz w:val="24"/>
          <w:szCs w:val="24"/>
        </w:rPr>
      </w:pPr>
      <w:r w:rsidRPr="00B60170">
        <w:rPr>
          <w:rFonts w:ascii="Arial" w:hAnsi="Arial" w:cs="Arial"/>
          <w:sz w:val="24"/>
          <w:szCs w:val="24"/>
        </w:rPr>
        <w:t>2.2</w:t>
      </w:r>
      <w:r w:rsidRPr="00B60170">
        <w:rPr>
          <w:rFonts w:ascii="Arial" w:hAnsi="Arial" w:cs="Arial"/>
          <w:sz w:val="24"/>
          <w:szCs w:val="24"/>
        </w:rPr>
        <w:tab/>
        <w:t>To support the resident to try and reduce the potential of rent arrears and the resulting danger to the tenancy</w:t>
      </w:r>
    </w:p>
    <w:p w14:paraId="13DF0B18" w14:textId="6AD3943D" w:rsidR="00143878" w:rsidRPr="00B60170" w:rsidRDefault="00143878" w:rsidP="004546F6">
      <w:pPr>
        <w:spacing w:line="276" w:lineRule="auto"/>
        <w:rPr>
          <w:rFonts w:ascii="Arial" w:hAnsi="Arial" w:cs="Arial"/>
          <w:b/>
          <w:bCs/>
          <w:sz w:val="24"/>
          <w:szCs w:val="24"/>
        </w:rPr>
      </w:pPr>
      <w:r w:rsidRPr="00B60170">
        <w:rPr>
          <w:rFonts w:ascii="Arial" w:hAnsi="Arial" w:cs="Arial"/>
          <w:b/>
          <w:bCs/>
          <w:sz w:val="24"/>
          <w:szCs w:val="24"/>
        </w:rPr>
        <w:t>3.0</w:t>
      </w:r>
      <w:r w:rsidRPr="00B60170">
        <w:rPr>
          <w:rFonts w:ascii="Arial" w:hAnsi="Arial" w:cs="Arial"/>
          <w:b/>
          <w:bCs/>
          <w:sz w:val="24"/>
          <w:szCs w:val="24"/>
        </w:rPr>
        <w:tab/>
      </w:r>
      <w:r w:rsidR="00BA7794" w:rsidRPr="00B60170">
        <w:rPr>
          <w:rFonts w:ascii="Arial" w:hAnsi="Arial" w:cs="Arial"/>
          <w:b/>
          <w:bCs/>
          <w:sz w:val="24"/>
          <w:szCs w:val="24"/>
        </w:rPr>
        <w:t xml:space="preserve">Equality and </w:t>
      </w:r>
      <w:r w:rsidR="00B60170">
        <w:rPr>
          <w:rFonts w:ascii="Arial" w:hAnsi="Arial" w:cs="Arial"/>
          <w:b/>
          <w:bCs/>
          <w:sz w:val="24"/>
          <w:szCs w:val="24"/>
        </w:rPr>
        <w:t>d</w:t>
      </w:r>
      <w:r w:rsidR="00BA7794" w:rsidRPr="00B60170">
        <w:rPr>
          <w:rFonts w:ascii="Arial" w:hAnsi="Arial" w:cs="Arial"/>
          <w:b/>
          <w:bCs/>
          <w:sz w:val="24"/>
          <w:szCs w:val="24"/>
        </w:rPr>
        <w:t xml:space="preserve">iversity </w:t>
      </w:r>
      <w:r w:rsidR="00B60170">
        <w:rPr>
          <w:rFonts w:ascii="Arial" w:hAnsi="Arial" w:cs="Arial"/>
          <w:b/>
          <w:bCs/>
          <w:sz w:val="24"/>
          <w:szCs w:val="24"/>
        </w:rPr>
        <w:t>i</w:t>
      </w:r>
      <w:r w:rsidR="00BA7794" w:rsidRPr="00B60170">
        <w:rPr>
          <w:rFonts w:ascii="Arial" w:hAnsi="Arial" w:cs="Arial"/>
          <w:b/>
          <w:bCs/>
          <w:sz w:val="24"/>
          <w:szCs w:val="24"/>
        </w:rPr>
        <w:t>mpact</w:t>
      </w:r>
      <w:r w:rsidRPr="00B60170">
        <w:rPr>
          <w:rFonts w:ascii="Arial" w:hAnsi="Arial" w:cs="Arial"/>
          <w:b/>
          <w:bCs/>
          <w:sz w:val="24"/>
          <w:szCs w:val="24"/>
        </w:rPr>
        <w:t>s</w:t>
      </w:r>
    </w:p>
    <w:p w14:paraId="4548316F" w14:textId="6142C8AF" w:rsidR="001A6D10" w:rsidRPr="00B60170" w:rsidRDefault="001A6D10" w:rsidP="009B0209">
      <w:pPr>
        <w:spacing w:line="276" w:lineRule="auto"/>
        <w:ind w:left="720"/>
        <w:rPr>
          <w:rFonts w:ascii="Arial" w:hAnsi="Arial" w:cs="Arial"/>
          <w:sz w:val="24"/>
          <w:szCs w:val="24"/>
        </w:rPr>
      </w:pPr>
      <w:r w:rsidRPr="00B60170">
        <w:rPr>
          <w:rFonts w:ascii="Arial" w:hAnsi="Arial" w:cs="Arial"/>
          <w:sz w:val="24"/>
          <w:szCs w:val="24"/>
        </w:rPr>
        <w:t xml:space="preserve">An initial screening has </w:t>
      </w:r>
      <w:r w:rsidR="009B0209" w:rsidRPr="00B60170">
        <w:rPr>
          <w:rFonts w:ascii="Arial" w:hAnsi="Arial" w:cs="Arial"/>
          <w:sz w:val="24"/>
          <w:szCs w:val="24"/>
        </w:rPr>
        <w:t xml:space="preserve">been made via the </w:t>
      </w:r>
      <w:proofErr w:type="spellStart"/>
      <w:r w:rsidR="009B0209" w:rsidRPr="00B60170">
        <w:rPr>
          <w:rFonts w:ascii="Arial" w:hAnsi="Arial" w:cs="Arial"/>
          <w:sz w:val="24"/>
          <w:szCs w:val="24"/>
        </w:rPr>
        <w:t>E</w:t>
      </w:r>
      <w:r w:rsidR="00B60170" w:rsidRPr="00B60170">
        <w:rPr>
          <w:rFonts w:ascii="Arial" w:hAnsi="Arial" w:cs="Arial"/>
          <w:sz w:val="24"/>
          <w:szCs w:val="24"/>
        </w:rPr>
        <w:t>i</w:t>
      </w:r>
      <w:r w:rsidR="009B0209" w:rsidRPr="00B60170">
        <w:rPr>
          <w:rFonts w:ascii="Arial" w:hAnsi="Arial" w:cs="Arial"/>
          <w:sz w:val="24"/>
          <w:szCs w:val="24"/>
        </w:rPr>
        <w:t>A</w:t>
      </w:r>
      <w:proofErr w:type="spellEnd"/>
      <w:r w:rsidR="009B0209" w:rsidRPr="00B60170">
        <w:rPr>
          <w:rFonts w:ascii="Arial" w:hAnsi="Arial" w:cs="Arial"/>
          <w:sz w:val="24"/>
          <w:szCs w:val="24"/>
        </w:rPr>
        <w:t xml:space="preserve"> template and there are no adverse equality impacts</w:t>
      </w:r>
    </w:p>
    <w:p w14:paraId="58EB833E" w14:textId="2F9B2451" w:rsidR="00BA7794" w:rsidRPr="00B60170" w:rsidRDefault="00143878" w:rsidP="004546F6">
      <w:pPr>
        <w:spacing w:line="276" w:lineRule="auto"/>
        <w:rPr>
          <w:rFonts w:ascii="Arial" w:hAnsi="Arial" w:cs="Arial"/>
          <w:b/>
          <w:bCs/>
          <w:sz w:val="24"/>
          <w:szCs w:val="24"/>
        </w:rPr>
      </w:pPr>
      <w:r w:rsidRPr="00B60170">
        <w:rPr>
          <w:rFonts w:ascii="Arial" w:hAnsi="Arial" w:cs="Arial"/>
          <w:b/>
          <w:bCs/>
          <w:sz w:val="24"/>
          <w:szCs w:val="24"/>
        </w:rPr>
        <w:t>4.0</w:t>
      </w:r>
      <w:r w:rsidRPr="00B60170">
        <w:rPr>
          <w:rFonts w:ascii="Arial" w:hAnsi="Arial" w:cs="Arial"/>
          <w:b/>
          <w:bCs/>
          <w:sz w:val="24"/>
          <w:szCs w:val="24"/>
        </w:rPr>
        <w:tab/>
      </w:r>
      <w:r w:rsidR="00BA7794" w:rsidRPr="00B60170">
        <w:rPr>
          <w:rFonts w:ascii="Arial" w:hAnsi="Arial" w:cs="Arial"/>
          <w:b/>
          <w:bCs/>
          <w:sz w:val="24"/>
          <w:szCs w:val="24"/>
        </w:rPr>
        <w:t>Consultation</w:t>
      </w:r>
    </w:p>
    <w:p w14:paraId="4B77B6B6" w14:textId="0D22C07E" w:rsidR="00BA7794" w:rsidRPr="00B60170" w:rsidRDefault="00BA7794" w:rsidP="00BA7794">
      <w:pPr>
        <w:spacing w:line="276" w:lineRule="auto"/>
        <w:ind w:left="720"/>
        <w:rPr>
          <w:rFonts w:ascii="Arial" w:hAnsi="Arial" w:cs="Arial"/>
          <w:sz w:val="24"/>
          <w:szCs w:val="24"/>
        </w:rPr>
      </w:pPr>
      <w:r w:rsidRPr="00B60170">
        <w:rPr>
          <w:rFonts w:ascii="Arial" w:hAnsi="Arial" w:cs="Arial"/>
          <w:sz w:val="24"/>
          <w:szCs w:val="24"/>
        </w:rPr>
        <w:t xml:space="preserve">This policy has been commented on by </w:t>
      </w:r>
      <w:r w:rsidR="00883492" w:rsidRPr="00B60170">
        <w:rPr>
          <w:rFonts w:ascii="Arial" w:hAnsi="Arial" w:cs="Arial"/>
          <w:sz w:val="24"/>
          <w:szCs w:val="24"/>
        </w:rPr>
        <w:t>RAG at their meeting on 2</w:t>
      </w:r>
      <w:r w:rsidR="00883492" w:rsidRPr="00B60170">
        <w:rPr>
          <w:rFonts w:ascii="Arial" w:hAnsi="Arial" w:cs="Arial"/>
          <w:sz w:val="24"/>
          <w:szCs w:val="24"/>
          <w:vertAlign w:val="superscript"/>
        </w:rPr>
        <w:t>nd</w:t>
      </w:r>
      <w:r w:rsidR="00883492" w:rsidRPr="00B60170">
        <w:rPr>
          <w:rFonts w:ascii="Arial" w:hAnsi="Arial" w:cs="Arial"/>
          <w:sz w:val="24"/>
          <w:szCs w:val="24"/>
        </w:rPr>
        <w:t xml:space="preserve"> March and their comments have been accommodated where appropriate</w:t>
      </w:r>
    </w:p>
    <w:p w14:paraId="221EE0D1" w14:textId="33B490A7" w:rsidR="00BA7794" w:rsidRPr="00B60170" w:rsidRDefault="00143878" w:rsidP="004546F6">
      <w:pPr>
        <w:spacing w:line="276" w:lineRule="auto"/>
        <w:rPr>
          <w:rFonts w:ascii="Arial" w:hAnsi="Arial" w:cs="Arial"/>
          <w:b/>
          <w:bCs/>
          <w:sz w:val="24"/>
          <w:szCs w:val="24"/>
        </w:rPr>
      </w:pPr>
      <w:r w:rsidRPr="00B60170">
        <w:rPr>
          <w:rFonts w:ascii="Arial" w:hAnsi="Arial" w:cs="Arial"/>
          <w:b/>
          <w:bCs/>
          <w:sz w:val="24"/>
          <w:szCs w:val="24"/>
        </w:rPr>
        <w:t>5</w:t>
      </w:r>
      <w:r w:rsidR="00BA7794" w:rsidRPr="00B60170">
        <w:rPr>
          <w:rFonts w:ascii="Arial" w:hAnsi="Arial" w:cs="Arial"/>
          <w:b/>
          <w:bCs/>
          <w:sz w:val="24"/>
          <w:szCs w:val="24"/>
        </w:rPr>
        <w:t>.0</w:t>
      </w:r>
      <w:r w:rsidR="00BA7794" w:rsidRPr="00B60170">
        <w:rPr>
          <w:rFonts w:ascii="Arial" w:hAnsi="Arial" w:cs="Arial"/>
          <w:b/>
          <w:bCs/>
          <w:sz w:val="24"/>
          <w:szCs w:val="24"/>
        </w:rPr>
        <w:tab/>
        <w:t>Statement</w:t>
      </w:r>
    </w:p>
    <w:p w14:paraId="5F743D48" w14:textId="6EC1B6B0" w:rsidR="004546F6" w:rsidRPr="00B60170" w:rsidRDefault="00143878" w:rsidP="008F7F09">
      <w:pPr>
        <w:spacing w:line="276" w:lineRule="auto"/>
        <w:ind w:left="720" w:hanging="720"/>
        <w:rPr>
          <w:rFonts w:ascii="Arial" w:hAnsi="Arial" w:cs="Arial"/>
          <w:sz w:val="24"/>
          <w:szCs w:val="24"/>
        </w:rPr>
      </w:pPr>
      <w:r w:rsidRPr="00B60170">
        <w:rPr>
          <w:rFonts w:ascii="Arial" w:hAnsi="Arial" w:cs="Arial"/>
          <w:sz w:val="24"/>
          <w:szCs w:val="24"/>
        </w:rPr>
        <w:t>5</w:t>
      </w:r>
      <w:r w:rsidR="008F7F09" w:rsidRPr="00B60170">
        <w:rPr>
          <w:rFonts w:ascii="Arial" w:hAnsi="Arial" w:cs="Arial"/>
          <w:sz w:val="24"/>
          <w:szCs w:val="24"/>
        </w:rPr>
        <w:t>.1</w:t>
      </w:r>
      <w:r w:rsidR="008F7F09" w:rsidRPr="00B60170">
        <w:rPr>
          <w:rFonts w:ascii="Arial" w:hAnsi="Arial" w:cs="Arial"/>
          <w:sz w:val="24"/>
          <w:szCs w:val="24"/>
        </w:rPr>
        <w:tab/>
      </w:r>
      <w:r w:rsidR="004546F6" w:rsidRPr="00B60170">
        <w:rPr>
          <w:rFonts w:ascii="Arial" w:hAnsi="Arial" w:cs="Arial"/>
          <w:sz w:val="24"/>
          <w:szCs w:val="24"/>
        </w:rPr>
        <w:t>When a resident is in prison, the property will remain their principal home</w:t>
      </w:r>
      <w:r w:rsidR="00BA7794" w:rsidRPr="00B60170">
        <w:rPr>
          <w:rFonts w:ascii="Arial" w:hAnsi="Arial" w:cs="Arial"/>
          <w:sz w:val="24"/>
          <w:szCs w:val="24"/>
        </w:rPr>
        <w:t xml:space="preserve"> unless they relinquish their tenancy.</w:t>
      </w:r>
      <w:r w:rsidR="004546F6" w:rsidRPr="00B60170">
        <w:rPr>
          <w:rFonts w:ascii="Arial" w:hAnsi="Arial" w:cs="Arial"/>
          <w:sz w:val="24"/>
          <w:szCs w:val="24"/>
        </w:rPr>
        <w:t xml:space="preserve">  </w:t>
      </w:r>
      <w:r w:rsidR="00BA7794" w:rsidRPr="00B60170">
        <w:rPr>
          <w:rFonts w:ascii="Arial" w:hAnsi="Arial" w:cs="Arial"/>
          <w:sz w:val="24"/>
          <w:szCs w:val="24"/>
        </w:rPr>
        <w:t>Hexagon will</w:t>
      </w:r>
      <w:r w:rsidR="004546F6" w:rsidRPr="00B60170">
        <w:rPr>
          <w:rFonts w:ascii="Arial" w:hAnsi="Arial" w:cs="Arial"/>
          <w:sz w:val="24"/>
          <w:szCs w:val="24"/>
        </w:rPr>
        <w:t xml:space="preserve"> not treat</w:t>
      </w:r>
      <w:r w:rsidR="00BA7794" w:rsidRPr="00B60170">
        <w:rPr>
          <w:rFonts w:ascii="Arial" w:hAnsi="Arial" w:cs="Arial"/>
          <w:sz w:val="24"/>
          <w:szCs w:val="24"/>
        </w:rPr>
        <w:t xml:space="preserve"> it</w:t>
      </w:r>
      <w:r w:rsidR="004546F6" w:rsidRPr="00B60170">
        <w:rPr>
          <w:rFonts w:ascii="Arial" w:hAnsi="Arial" w:cs="Arial"/>
          <w:sz w:val="24"/>
          <w:szCs w:val="24"/>
        </w:rPr>
        <w:t xml:space="preserve"> as abandoned where it is known that a resident is in prison - even if the sentence is a long one.</w:t>
      </w:r>
    </w:p>
    <w:p w14:paraId="00F1E2A9" w14:textId="77777777" w:rsidR="004068A6" w:rsidRPr="00B60170" w:rsidRDefault="00143878" w:rsidP="004068A6">
      <w:pPr>
        <w:spacing w:line="276" w:lineRule="auto"/>
        <w:ind w:left="720" w:hanging="720"/>
        <w:rPr>
          <w:rFonts w:ascii="Arial" w:hAnsi="Arial" w:cs="Arial"/>
          <w:sz w:val="24"/>
          <w:szCs w:val="24"/>
        </w:rPr>
      </w:pPr>
      <w:r w:rsidRPr="00B60170">
        <w:rPr>
          <w:rFonts w:ascii="Arial" w:hAnsi="Arial" w:cs="Arial"/>
          <w:sz w:val="24"/>
          <w:szCs w:val="24"/>
        </w:rPr>
        <w:t>5</w:t>
      </w:r>
      <w:r w:rsidR="008F7F09" w:rsidRPr="00B60170">
        <w:rPr>
          <w:rFonts w:ascii="Arial" w:hAnsi="Arial" w:cs="Arial"/>
          <w:sz w:val="24"/>
          <w:szCs w:val="24"/>
        </w:rPr>
        <w:t>.</w:t>
      </w:r>
      <w:r w:rsidRPr="00B60170">
        <w:rPr>
          <w:rFonts w:ascii="Arial" w:hAnsi="Arial" w:cs="Arial"/>
          <w:sz w:val="24"/>
          <w:szCs w:val="24"/>
        </w:rPr>
        <w:t>2</w:t>
      </w:r>
      <w:r w:rsidR="008F7F09" w:rsidRPr="00B60170">
        <w:rPr>
          <w:rFonts w:ascii="Arial" w:hAnsi="Arial" w:cs="Arial"/>
          <w:sz w:val="24"/>
          <w:szCs w:val="24"/>
        </w:rPr>
        <w:tab/>
      </w:r>
      <w:r w:rsidR="004068A6" w:rsidRPr="00B60170">
        <w:rPr>
          <w:rFonts w:ascii="Arial" w:hAnsi="Arial" w:cs="Arial"/>
          <w:sz w:val="24"/>
          <w:szCs w:val="24"/>
        </w:rPr>
        <w:t>Hexagon will always attempt to contact the resident where there is a need to take action to end the tenancy.</w:t>
      </w:r>
    </w:p>
    <w:p w14:paraId="314C565F" w14:textId="28DE5BAE" w:rsidR="008F7F09" w:rsidRPr="00B60170" w:rsidRDefault="004068A6" w:rsidP="004068A6">
      <w:pPr>
        <w:spacing w:line="276" w:lineRule="auto"/>
        <w:ind w:left="720" w:hanging="720"/>
        <w:rPr>
          <w:rFonts w:ascii="Arial" w:hAnsi="Arial" w:cs="Arial"/>
          <w:sz w:val="24"/>
          <w:szCs w:val="24"/>
        </w:rPr>
      </w:pPr>
      <w:r w:rsidRPr="00B60170">
        <w:rPr>
          <w:rFonts w:ascii="Arial" w:hAnsi="Arial" w:cs="Arial"/>
          <w:sz w:val="24"/>
          <w:szCs w:val="24"/>
        </w:rPr>
        <w:t>5.3</w:t>
      </w:r>
      <w:r w:rsidRPr="00B60170">
        <w:rPr>
          <w:rFonts w:ascii="Arial" w:hAnsi="Arial" w:cs="Arial"/>
          <w:sz w:val="24"/>
          <w:szCs w:val="24"/>
        </w:rPr>
        <w:tab/>
      </w:r>
      <w:r w:rsidR="008F7F09" w:rsidRPr="00B60170">
        <w:rPr>
          <w:rFonts w:ascii="Arial" w:hAnsi="Arial" w:cs="Arial"/>
          <w:sz w:val="24"/>
          <w:szCs w:val="24"/>
        </w:rPr>
        <w:t xml:space="preserve">Hexagon will always attempt to locate the resident and advise they </w:t>
      </w:r>
      <w:r w:rsidR="00143878" w:rsidRPr="00B60170">
        <w:rPr>
          <w:rFonts w:ascii="Arial" w:hAnsi="Arial" w:cs="Arial"/>
          <w:sz w:val="24"/>
          <w:szCs w:val="24"/>
        </w:rPr>
        <w:t>seek legal</w:t>
      </w:r>
      <w:r w:rsidR="008F7F09" w:rsidRPr="00B60170">
        <w:rPr>
          <w:rFonts w:ascii="Arial" w:hAnsi="Arial" w:cs="Arial"/>
          <w:sz w:val="24"/>
          <w:szCs w:val="24"/>
        </w:rPr>
        <w:t xml:space="preserve"> advice about the legal rights and entitlements to housing related benefit</w:t>
      </w:r>
      <w:r w:rsidR="00B60170" w:rsidRPr="00B60170">
        <w:rPr>
          <w:rFonts w:ascii="Arial" w:hAnsi="Arial" w:cs="Arial"/>
          <w:sz w:val="24"/>
          <w:szCs w:val="24"/>
        </w:rPr>
        <w:t>s.</w:t>
      </w:r>
    </w:p>
    <w:p w14:paraId="50ED0A03" w14:textId="09D95134" w:rsidR="008F7F09" w:rsidRPr="00B60170" w:rsidRDefault="00143878" w:rsidP="008F7F09">
      <w:pPr>
        <w:spacing w:line="276" w:lineRule="auto"/>
        <w:ind w:left="720" w:hanging="720"/>
        <w:rPr>
          <w:rFonts w:ascii="Arial" w:hAnsi="Arial" w:cs="Arial"/>
          <w:sz w:val="24"/>
          <w:szCs w:val="24"/>
        </w:rPr>
      </w:pPr>
      <w:r w:rsidRPr="00B60170">
        <w:rPr>
          <w:rFonts w:ascii="Arial" w:hAnsi="Arial" w:cs="Arial"/>
          <w:sz w:val="24"/>
          <w:szCs w:val="24"/>
        </w:rPr>
        <w:t>5.</w:t>
      </w:r>
      <w:r w:rsidR="008F7F09" w:rsidRPr="00B60170">
        <w:rPr>
          <w:rFonts w:ascii="Arial" w:hAnsi="Arial" w:cs="Arial"/>
          <w:sz w:val="24"/>
          <w:szCs w:val="24"/>
        </w:rPr>
        <w:t>3</w:t>
      </w:r>
      <w:r w:rsidR="004068A6" w:rsidRPr="00B60170">
        <w:rPr>
          <w:rFonts w:ascii="Arial" w:hAnsi="Arial" w:cs="Arial"/>
          <w:sz w:val="24"/>
          <w:szCs w:val="24"/>
        </w:rPr>
        <w:t>1</w:t>
      </w:r>
      <w:r w:rsidR="008F7F09" w:rsidRPr="00B60170">
        <w:rPr>
          <w:rFonts w:ascii="Arial" w:hAnsi="Arial" w:cs="Arial"/>
          <w:sz w:val="24"/>
          <w:szCs w:val="24"/>
        </w:rPr>
        <w:tab/>
        <w:t xml:space="preserve">While there is no entitlement to other benefits whilst is prison, </w:t>
      </w:r>
      <w:r w:rsidR="00AA7A46" w:rsidRPr="00B60170">
        <w:rPr>
          <w:rFonts w:ascii="Arial" w:hAnsi="Arial" w:cs="Arial"/>
          <w:sz w:val="24"/>
          <w:szCs w:val="24"/>
        </w:rPr>
        <w:t>some</w:t>
      </w:r>
      <w:r w:rsidR="008F7F09" w:rsidRPr="00B60170">
        <w:rPr>
          <w:rFonts w:ascii="Arial" w:hAnsi="Arial" w:cs="Arial"/>
          <w:sz w:val="24"/>
          <w:szCs w:val="24"/>
        </w:rPr>
        <w:t xml:space="preserve"> housing related benefits may be paid.  Any benefits are only payable if the resident is intending to return to their home when released. The entitlements are calculated </w:t>
      </w:r>
      <w:proofErr w:type="gramStart"/>
      <w:r w:rsidR="008F7F09" w:rsidRPr="00B60170">
        <w:rPr>
          <w:rFonts w:ascii="Arial" w:hAnsi="Arial" w:cs="Arial"/>
          <w:sz w:val="24"/>
          <w:szCs w:val="24"/>
        </w:rPr>
        <w:t>on the basis of</w:t>
      </w:r>
      <w:proofErr w:type="gramEnd"/>
      <w:r w:rsidR="008F7F09" w:rsidRPr="00B60170">
        <w:rPr>
          <w:rFonts w:ascii="Arial" w:hAnsi="Arial" w:cs="Arial"/>
          <w:sz w:val="24"/>
          <w:szCs w:val="24"/>
        </w:rPr>
        <w:t xml:space="preserve"> nil income and are as follows:</w:t>
      </w:r>
    </w:p>
    <w:p w14:paraId="30E6CB8A" w14:textId="10B2C6DF" w:rsidR="00AA7A46" w:rsidRPr="00B60170" w:rsidRDefault="00143878" w:rsidP="00143878">
      <w:pPr>
        <w:spacing w:line="276" w:lineRule="auto"/>
        <w:rPr>
          <w:rFonts w:ascii="Arial" w:hAnsi="Arial" w:cs="Arial"/>
          <w:sz w:val="24"/>
          <w:szCs w:val="24"/>
        </w:rPr>
      </w:pPr>
      <w:r w:rsidRPr="00B60170">
        <w:rPr>
          <w:rFonts w:ascii="Arial" w:hAnsi="Arial" w:cs="Arial"/>
          <w:sz w:val="24"/>
          <w:szCs w:val="24"/>
        </w:rPr>
        <w:t>5.</w:t>
      </w:r>
      <w:r w:rsidR="004068A6" w:rsidRPr="00B60170">
        <w:rPr>
          <w:rFonts w:ascii="Arial" w:hAnsi="Arial" w:cs="Arial"/>
          <w:sz w:val="24"/>
          <w:szCs w:val="24"/>
        </w:rPr>
        <w:t>32</w:t>
      </w:r>
      <w:r w:rsidRPr="00B60170">
        <w:rPr>
          <w:rFonts w:ascii="Arial" w:hAnsi="Arial" w:cs="Arial"/>
          <w:b/>
          <w:bCs/>
          <w:sz w:val="24"/>
          <w:szCs w:val="24"/>
        </w:rPr>
        <w:tab/>
      </w:r>
      <w:r w:rsidR="007D1820" w:rsidRPr="00B60170">
        <w:rPr>
          <w:rFonts w:ascii="Arial" w:hAnsi="Arial" w:cs="Arial"/>
          <w:sz w:val="24"/>
          <w:szCs w:val="24"/>
        </w:rPr>
        <w:t>Housing</w:t>
      </w:r>
      <w:r w:rsidR="00AA7A46" w:rsidRPr="00B60170">
        <w:rPr>
          <w:rFonts w:ascii="Arial" w:hAnsi="Arial" w:cs="Arial"/>
          <w:sz w:val="24"/>
          <w:szCs w:val="24"/>
        </w:rPr>
        <w:t xml:space="preserve"> Benefit</w:t>
      </w:r>
    </w:p>
    <w:p w14:paraId="4CE939B7" w14:textId="48D1BA59" w:rsidR="00AA7A46" w:rsidRPr="00B60170" w:rsidRDefault="008F7F09" w:rsidP="00AA7A46">
      <w:pPr>
        <w:spacing w:line="276" w:lineRule="auto"/>
        <w:ind w:left="720"/>
        <w:rPr>
          <w:rFonts w:ascii="Arial" w:hAnsi="Arial" w:cs="Arial"/>
          <w:sz w:val="24"/>
          <w:szCs w:val="24"/>
        </w:rPr>
      </w:pPr>
      <w:r w:rsidRPr="00B60170">
        <w:rPr>
          <w:rFonts w:ascii="Arial" w:hAnsi="Arial" w:cs="Arial"/>
          <w:sz w:val="24"/>
          <w:szCs w:val="24"/>
        </w:rPr>
        <w:t xml:space="preserve">If the resident is an existing claimant of Housing </w:t>
      </w:r>
      <w:proofErr w:type="gramStart"/>
      <w:r w:rsidRPr="00B60170">
        <w:rPr>
          <w:rFonts w:ascii="Arial" w:hAnsi="Arial" w:cs="Arial"/>
          <w:sz w:val="24"/>
          <w:szCs w:val="24"/>
        </w:rPr>
        <w:t>Benefit</w:t>
      </w:r>
      <w:proofErr w:type="gramEnd"/>
      <w:r w:rsidRPr="00B60170">
        <w:rPr>
          <w:rFonts w:ascii="Arial" w:hAnsi="Arial" w:cs="Arial"/>
          <w:sz w:val="24"/>
          <w:szCs w:val="24"/>
        </w:rPr>
        <w:t xml:space="preserve"> </w:t>
      </w:r>
      <w:r w:rsidR="00AA7A46" w:rsidRPr="00B60170">
        <w:rPr>
          <w:rFonts w:ascii="Arial" w:hAnsi="Arial" w:cs="Arial"/>
          <w:sz w:val="24"/>
          <w:szCs w:val="24"/>
        </w:rPr>
        <w:t>then the following applies:</w:t>
      </w:r>
    </w:p>
    <w:p w14:paraId="75A33E80" w14:textId="77777777" w:rsidR="00AA7A46" w:rsidRPr="00B60170" w:rsidRDefault="004546F6" w:rsidP="00AA7A46">
      <w:pPr>
        <w:pStyle w:val="ListParagraph"/>
        <w:numPr>
          <w:ilvl w:val="0"/>
          <w:numId w:val="3"/>
        </w:numPr>
        <w:spacing w:line="276" w:lineRule="auto"/>
        <w:ind w:left="1134"/>
        <w:rPr>
          <w:rFonts w:cs="Arial"/>
          <w:szCs w:val="24"/>
        </w:rPr>
      </w:pPr>
      <w:r w:rsidRPr="00B60170">
        <w:rPr>
          <w:rFonts w:cs="Arial"/>
          <w:szCs w:val="24"/>
        </w:rPr>
        <w:t>on bail – the resident can get HB for up to 52 weeks if bail conditions require the resident to live away from home (e.g. in a bail or probation hostel) until the court hearing.</w:t>
      </w:r>
    </w:p>
    <w:p w14:paraId="666D216F" w14:textId="77777777" w:rsidR="00AA7A46" w:rsidRPr="00B60170" w:rsidRDefault="004546F6" w:rsidP="00AA7A46">
      <w:pPr>
        <w:pStyle w:val="ListParagraph"/>
        <w:numPr>
          <w:ilvl w:val="0"/>
          <w:numId w:val="3"/>
        </w:numPr>
        <w:spacing w:line="276" w:lineRule="auto"/>
        <w:ind w:left="1134"/>
        <w:rPr>
          <w:rFonts w:cs="Arial"/>
          <w:szCs w:val="24"/>
        </w:rPr>
      </w:pPr>
      <w:r w:rsidRPr="00B60170">
        <w:rPr>
          <w:rFonts w:cs="Arial"/>
          <w:szCs w:val="24"/>
        </w:rPr>
        <w:t>On remand - the resident can get HB for up to 52 weeks while on remand awaiting trial or sentencing.</w:t>
      </w:r>
    </w:p>
    <w:p w14:paraId="70CF326C" w14:textId="20EE061C" w:rsidR="004546F6" w:rsidRPr="00B60170" w:rsidRDefault="004546F6" w:rsidP="00AA7A46">
      <w:pPr>
        <w:pStyle w:val="ListParagraph"/>
        <w:numPr>
          <w:ilvl w:val="0"/>
          <w:numId w:val="3"/>
        </w:numPr>
        <w:spacing w:line="276" w:lineRule="auto"/>
        <w:ind w:left="1134"/>
        <w:rPr>
          <w:rFonts w:cs="Arial"/>
          <w:szCs w:val="24"/>
        </w:rPr>
      </w:pPr>
      <w:r w:rsidRPr="00B60170">
        <w:rPr>
          <w:rFonts w:cs="Arial"/>
          <w:szCs w:val="24"/>
        </w:rPr>
        <w:t xml:space="preserve">Sentenced – HB can be paid for up to 13 weeks. The resident needs to expect to return home within 13 weeks of the date that they first went into custody, including any time on remand. </w:t>
      </w:r>
    </w:p>
    <w:p w14:paraId="4CF3D202" w14:textId="57CE3DDD" w:rsidR="004546F6" w:rsidRPr="00B60170" w:rsidRDefault="004546F6" w:rsidP="00AA7A46">
      <w:pPr>
        <w:spacing w:line="276" w:lineRule="auto"/>
        <w:ind w:left="720"/>
        <w:rPr>
          <w:rFonts w:ascii="Arial" w:hAnsi="Arial" w:cs="Arial"/>
          <w:b/>
          <w:bCs/>
          <w:sz w:val="24"/>
          <w:szCs w:val="24"/>
        </w:rPr>
      </w:pPr>
      <w:r w:rsidRPr="00B60170">
        <w:rPr>
          <w:rFonts w:ascii="Arial" w:hAnsi="Arial" w:cs="Arial"/>
          <w:sz w:val="24"/>
          <w:szCs w:val="24"/>
        </w:rPr>
        <w:t>No HB will be paid for any period if the length of the sentence means that the resident will not return home within 13 weeks of the date that they first went into custody.</w:t>
      </w:r>
    </w:p>
    <w:p w14:paraId="6E46DFE6" w14:textId="27279A57" w:rsidR="00AA7A46" w:rsidRPr="00B60170" w:rsidRDefault="003E62F1" w:rsidP="003E62F1">
      <w:pPr>
        <w:spacing w:line="276" w:lineRule="auto"/>
        <w:rPr>
          <w:rFonts w:ascii="Arial" w:hAnsi="Arial" w:cs="Arial"/>
          <w:sz w:val="24"/>
          <w:szCs w:val="24"/>
        </w:rPr>
      </w:pPr>
      <w:r w:rsidRPr="00B60170">
        <w:rPr>
          <w:rFonts w:ascii="Arial" w:hAnsi="Arial" w:cs="Arial"/>
          <w:sz w:val="24"/>
          <w:szCs w:val="24"/>
        </w:rPr>
        <w:t>5.3</w:t>
      </w:r>
      <w:r w:rsidR="004068A6" w:rsidRPr="00B60170">
        <w:rPr>
          <w:rFonts w:ascii="Arial" w:hAnsi="Arial" w:cs="Arial"/>
          <w:sz w:val="24"/>
          <w:szCs w:val="24"/>
        </w:rPr>
        <w:t>3</w:t>
      </w:r>
      <w:r w:rsidRPr="00B60170">
        <w:rPr>
          <w:rFonts w:ascii="Arial" w:hAnsi="Arial" w:cs="Arial"/>
          <w:sz w:val="24"/>
          <w:szCs w:val="24"/>
        </w:rPr>
        <w:tab/>
      </w:r>
      <w:r w:rsidR="00AA7A46" w:rsidRPr="00B60170">
        <w:rPr>
          <w:rFonts w:ascii="Arial" w:hAnsi="Arial" w:cs="Arial"/>
          <w:sz w:val="24"/>
          <w:szCs w:val="24"/>
        </w:rPr>
        <w:t>Universal Credit</w:t>
      </w:r>
    </w:p>
    <w:p w14:paraId="5B87E7E7" w14:textId="30085C0A" w:rsidR="00AA7A46" w:rsidRPr="00B60170" w:rsidRDefault="004546F6" w:rsidP="00AA7A46">
      <w:pPr>
        <w:pStyle w:val="ListParagraph"/>
        <w:spacing w:line="276" w:lineRule="auto"/>
        <w:rPr>
          <w:rFonts w:cs="Arial"/>
          <w:szCs w:val="24"/>
        </w:rPr>
      </w:pPr>
      <w:r w:rsidRPr="00B60170">
        <w:rPr>
          <w:rFonts w:cs="Arial"/>
          <w:szCs w:val="24"/>
        </w:rPr>
        <w:t xml:space="preserve">If the resident </w:t>
      </w:r>
      <w:r w:rsidR="00AA7A46" w:rsidRPr="00B60170">
        <w:rPr>
          <w:rFonts w:cs="Arial"/>
          <w:szCs w:val="24"/>
        </w:rPr>
        <w:t xml:space="preserve">is an existing claimant of </w:t>
      </w:r>
      <w:r w:rsidRPr="00B60170">
        <w:rPr>
          <w:rFonts w:cs="Arial"/>
          <w:szCs w:val="24"/>
        </w:rPr>
        <w:t>U</w:t>
      </w:r>
      <w:r w:rsidR="00AA7A46" w:rsidRPr="00B60170">
        <w:rPr>
          <w:rFonts w:cs="Arial"/>
          <w:szCs w:val="24"/>
        </w:rPr>
        <w:t xml:space="preserve">niversal </w:t>
      </w:r>
      <w:proofErr w:type="gramStart"/>
      <w:r w:rsidRPr="00B60170">
        <w:rPr>
          <w:rFonts w:cs="Arial"/>
          <w:szCs w:val="24"/>
        </w:rPr>
        <w:t>C</w:t>
      </w:r>
      <w:r w:rsidR="00AA7A46" w:rsidRPr="00B60170">
        <w:rPr>
          <w:rFonts w:cs="Arial"/>
          <w:szCs w:val="24"/>
        </w:rPr>
        <w:t>redit</w:t>
      </w:r>
      <w:proofErr w:type="gramEnd"/>
      <w:r w:rsidR="00AA7A46" w:rsidRPr="00B60170">
        <w:rPr>
          <w:rFonts w:cs="Arial"/>
          <w:szCs w:val="24"/>
        </w:rPr>
        <w:t xml:space="preserve"> then the following applies</w:t>
      </w:r>
    </w:p>
    <w:p w14:paraId="2F256AD8" w14:textId="77777777" w:rsidR="00AA7A46" w:rsidRPr="00B60170" w:rsidRDefault="004546F6" w:rsidP="00AA7A46">
      <w:pPr>
        <w:pStyle w:val="ListParagraph"/>
        <w:numPr>
          <w:ilvl w:val="0"/>
          <w:numId w:val="8"/>
        </w:numPr>
        <w:spacing w:line="276" w:lineRule="auto"/>
        <w:ind w:left="1134"/>
        <w:rPr>
          <w:rFonts w:cs="Arial"/>
          <w:szCs w:val="24"/>
        </w:rPr>
      </w:pPr>
      <w:r w:rsidRPr="00B60170">
        <w:rPr>
          <w:rFonts w:cs="Arial"/>
          <w:szCs w:val="24"/>
        </w:rPr>
        <w:t>they can continue to get UC housing cost payments for up to 6 months, whether on remand, on bail or sentenced.</w:t>
      </w:r>
    </w:p>
    <w:p w14:paraId="060F9E45" w14:textId="77777777" w:rsidR="00AA7A46" w:rsidRPr="00B60170" w:rsidRDefault="004546F6" w:rsidP="00AA7A46">
      <w:pPr>
        <w:pStyle w:val="ListParagraph"/>
        <w:numPr>
          <w:ilvl w:val="0"/>
          <w:numId w:val="8"/>
        </w:numPr>
        <w:spacing w:line="276" w:lineRule="auto"/>
        <w:ind w:left="1134"/>
        <w:rPr>
          <w:rFonts w:cs="Arial"/>
          <w:szCs w:val="24"/>
        </w:rPr>
      </w:pPr>
      <w:r w:rsidRPr="00B60170">
        <w:rPr>
          <w:rFonts w:cs="Arial"/>
          <w:szCs w:val="24"/>
        </w:rPr>
        <w:t>But if a custodial sentence is given, and the time expected to be spent in prison (including on remand) is more than 6 months, UC will not be paid.</w:t>
      </w:r>
    </w:p>
    <w:p w14:paraId="44E5EE8B" w14:textId="6608110B" w:rsidR="004546F6" w:rsidRPr="00B60170" w:rsidRDefault="004546F6" w:rsidP="00AA7A46">
      <w:pPr>
        <w:pStyle w:val="ListParagraph"/>
        <w:numPr>
          <w:ilvl w:val="0"/>
          <w:numId w:val="8"/>
        </w:numPr>
        <w:spacing w:line="276" w:lineRule="auto"/>
        <w:ind w:left="1134"/>
        <w:rPr>
          <w:rFonts w:cs="Arial"/>
          <w:szCs w:val="24"/>
        </w:rPr>
      </w:pPr>
      <w:r w:rsidRPr="00B60170">
        <w:rPr>
          <w:rFonts w:cs="Arial"/>
          <w:szCs w:val="24"/>
        </w:rPr>
        <w:t>A new UC</w:t>
      </w:r>
      <w:r w:rsidR="00B60170" w:rsidRPr="00B60170">
        <w:rPr>
          <w:rFonts w:cs="Arial"/>
          <w:szCs w:val="24"/>
        </w:rPr>
        <w:t xml:space="preserve"> claim</w:t>
      </w:r>
      <w:r w:rsidRPr="00B60170">
        <w:rPr>
          <w:rFonts w:cs="Arial"/>
          <w:szCs w:val="24"/>
        </w:rPr>
        <w:t xml:space="preserve"> cannot be made in prison. But if the resident was entitled to UC, but not receiving it, backdated payments may be possible. </w:t>
      </w:r>
    </w:p>
    <w:p w14:paraId="4C978112" w14:textId="60006C75" w:rsidR="004546F6" w:rsidRPr="00B60170" w:rsidRDefault="004546F6" w:rsidP="00AA7A46">
      <w:pPr>
        <w:spacing w:line="276" w:lineRule="auto"/>
        <w:ind w:firstLine="720"/>
        <w:rPr>
          <w:rFonts w:ascii="Arial" w:hAnsi="Arial" w:cs="Arial"/>
          <w:sz w:val="24"/>
          <w:szCs w:val="24"/>
        </w:rPr>
      </w:pPr>
      <w:r w:rsidRPr="00B60170">
        <w:rPr>
          <w:rFonts w:ascii="Arial" w:hAnsi="Arial" w:cs="Arial"/>
          <w:sz w:val="24"/>
          <w:szCs w:val="24"/>
        </w:rPr>
        <w:t>(Shelter April 201</w:t>
      </w:r>
      <w:r w:rsidR="00C57083" w:rsidRPr="00B60170">
        <w:rPr>
          <w:rFonts w:ascii="Arial" w:hAnsi="Arial" w:cs="Arial"/>
          <w:sz w:val="24"/>
          <w:szCs w:val="24"/>
        </w:rPr>
        <w:t>9</w:t>
      </w:r>
      <w:r w:rsidRPr="00B60170">
        <w:rPr>
          <w:rFonts w:ascii="Arial" w:hAnsi="Arial" w:cs="Arial"/>
          <w:sz w:val="24"/>
          <w:szCs w:val="24"/>
        </w:rPr>
        <w:t xml:space="preserve">) </w:t>
      </w:r>
    </w:p>
    <w:p w14:paraId="131971E5" w14:textId="4B24B7CB" w:rsidR="00AA7A46" w:rsidRPr="00B60170" w:rsidRDefault="003E62F1" w:rsidP="003E62F1">
      <w:pPr>
        <w:spacing w:line="276" w:lineRule="auto"/>
        <w:rPr>
          <w:rFonts w:ascii="Arial" w:hAnsi="Arial" w:cs="Arial"/>
          <w:sz w:val="24"/>
          <w:szCs w:val="24"/>
        </w:rPr>
      </w:pPr>
      <w:r w:rsidRPr="00B60170">
        <w:rPr>
          <w:rFonts w:ascii="Arial" w:hAnsi="Arial" w:cs="Arial"/>
          <w:sz w:val="24"/>
          <w:szCs w:val="24"/>
        </w:rPr>
        <w:t>5</w:t>
      </w:r>
      <w:r w:rsidR="00AA7A46" w:rsidRPr="00B60170">
        <w:rPr>
          <w:rFonts w:ascii="Arial" w:hAnsi="Arial" w:cs="Arial"/>
          <w:sz w:val="24"/>
          <w:szCs w:val="24"/>
        </w:rPr>
        <w:t>.4</w:t>
      </w:r>
      <w:r w:rsidR="00AA7A46" w:rsidRPr="00B60170">
        <w:rPr>
          <w:rFonts w:ascii="Arial" w:hAnsi="Arial" w:cs="Arial"/>
          <w:b/>
          <w:bCs/>
          <w:sz w:val="24"/>
          <w:szCs w:val="24"/>
        </w:rPr>
        <w:tab/>
      </w:r>
      <w:r w:rsidR="00AA7A46" w:rsidRPr="00B60170">
        <w:rPr>
          <w:rFonts w:ascii="Arial" w:hAnsi="Arial" w:cs="Arial"/>
          <w:sz w:val="24"/>
          <w:szCs w:val="24"/>
        </w:rPr>
        <w:t>Joint Tenants</w:t>
      </w:r>
    </w:p>
    <w:p w14:paraId="511EAC2B" w14:textId="5E82D119" w:rsidR="004546F6" w:rsidRPr="00B60170" w:rsidRDefault="004068A6" w:rsidP="004068A6">
      <w:pPr>
        <w:spacing w:line="276" w:lineRule="auto"/>
        <w:ind w:left="720" w:hanging="720"/>
        <w:rPr>
          <w:rFonts w:ascii="Arial" w:hAnsi="Arial" w:cs="Arial"/>
          <w:sz w:val="24"/>
          <w:szCs w:val="24"/>
        </w:rPr>
      </w:pPr>
      <w:r w:rsidRPr="00B60170">
        <w:rPr>
          <w:rFonts w:ascii="Arial" w:hAnsi="Arial" w:cs="Arial"/>
          <w:sz w:val="24"/>
          <w:szCs w:val="24"/>
        </w:rPr>
        <w:t>5.41</w:t>
      </w:r>
      <w:r w:rsidRPr="00B60170">
        <w:rPr>
          <w:rFonts w:ascii="Arial" w:hAnsi="Arial" w:cs="Arial"/>
          <w:sz w:val="24"/>
          <w:szCs w:val="24"/>
        </w:rPr>
        <w:tab/>
      </w:r>
      <w:r w:rsidR="004546F6" w:rsidRPr="00B60170">
        <w:rPr>
          <w:rFonts w:ascii="Arial" w:hAnsi="Arial" w:cs="Arial"/>
          <w:sz w:val="24"/>
          <w:szCs w:val="24"/>
        </w:rPr>
        <w:t>Where one resident in a joint tenancy is convicted and sentenced to prison, the remaining resident remains responsible for the rent</w:t>
      </w:r>
      <w:r w:rsidR="00B60170" w:rsidRPr="00B60170">
        <w:rPr>
          <w:rFonts w:ascii="Arial" w:hAnsi="Arial" w:cs="Arial"/>
          <w:sz w:val="24"/>
          <w:szCs w:val="24"/>
        </w:rPr>
        <w:t>.</w:t>
      </w:r>
    </w:p>
    <w:p w14:paraId="7A21AC84" w14:textId="6A648953" w:rsidR="004546F6" w:rsidRPr="00B60170" w:rsidRDefault="004068A6" w:rsidP="004068A6">
      <w:pPr>
        <w:spacing w:line="276" w:lineRule="auto"/>
        <w:ind w:left="720" w:hanging="720"/>
        <w:rPr>
          <w:rFonts w:ascii="Arial" w:hAnsi="Arial" w:cs="Arial"/>
          <w:sz w:val="24"/>
          <w:szCs w:val="24"/>
        </w:rPr>
      </w:pPr>
      <w:r w:rsidRPr="00B60170">
        <w:rPr>
          <w:rFonts w:ascii="Arial" w:hAnsi="Arial" w:cs="Arial"/>
          <w:sz w:val="24"/>
          <w:szCs w:val="24"/>
        </w:rPr>
        <w:t>5.5</w:t>
      </w:r>
      <w:r w:rsidRPr="00B60170">
        <w:rPr>
          <w:rFonts w:ascii="Arial" w:hAnsi="Arial" w:cs="Arial"/>
          <w:sz w:val="24"/>
          <w:szCs w:val="24"/>
        </w:rPr>
        <w:tab/>
      </w:r>
      <w:r w:rsidR="004546F6" w:rsidRPr="00B60170">
        <w:rPr>
          <w:rFonts w:ascii="Arial" w:hAnsi="Arial" w:cs="Arial"/>
          <w:sz w:val="24"/>
          <w:szCs w:val="24"/>
        </w:rPr>
        <w:t xml:space="preserve">The most common result of a resident being in prison will be rent arrears.  </w:t>
      </w:r>
      <w:r w:rsidR="009B0209" w:rsidRPr="00B60170">
        <w:rPr>
          <w:rFonts w:ascii="Arial" w:hAnsi="Arial" w:cs="Arial"/>
          <w:sz w:val="24"/>
          <w:szCs w:val="24"/>
        </w:rPr>
        <w:t>Hexagon will maximise the</w:t>
      </w:r>
      <w:r w:rsidR="004546F6" w:rsidRPr="00B60170">
        <w:rPr>
          <w:rFonts w:ascii="Arial" w:hAnsi="Arial" w:cs="Arial"/>
          <w:sz w:val="24"/>
          <w:szCs w:val="24"/>
        </w:rPr>
        <w:t xml:space="preserve"> approaches that can be taken to try and reduce the potential of this and the resulting danger to the tenancy</w:t>
      </w:r>
      <w:r w:rsidR="009B0209" w:rsidRPr="00B60170">
        <w:rPr>
          <w:rFonts w:ascii="Arial" w:hAnsi="Arial" w:cs="Arial"/>
          <w:sz w:val="24"/>
          <w:szCs w:val="24"/>
        </w:rPr>
        <w:t>.  This will include advising the resident, any partner or considering a family member or friend as a “temporary caretaker”.</w:t>
      </w:r>
      <w:r w:rsidR="00590784" w:rsidRPr="00B60170">
        <w:rPr>
          <w:rFonts w:ascii="Arial" w:hAnsi="Arial" w:cs="Arial"/>
          <w:sz w:val="24"/>
          <w:szCs w:val="24"/>
        </w:rPr>
        <w:t xml:space="preserve"> </w:t>
      </w:r>
      <w:r w:rsidR="00590784" w:rsidRPr="00B60170">
        <w:rPr>
          <w:rFonts w:ascii="Arial" w:hAnsi="Arial" w:cs="Arial"/>
          <w:sz w:val="24"/>
          <w:szCs w:val="24"/>
          <w:shd w:val="clear" w:color="auto" w:fill="FFFFFF"/>
        </w:rPr>
        <w:t>Hexagon will not want to</w:t>
      </w:r>
      <w:r w:rsidR="00590784" w:rsidRPr="00B60170">
        <w:rPr>
          <w:rFonts w:ascii="Helvetica" w:hAnsi="Helvetica" w:cs="Helvetica"/>
          <w:shd w:val="clear" w:color="auto" w:fill="FFFFFF"/>
        </w:rPr>
        <w:t xml:space="preserve"> </w:t>
      </w:r>
      <w:r w:rsidR="00590784" w:rsidRPr="00B60170">
        <w:rPr>
          <w:rFonts w:ascii="Arial" w:hAnsi="Arial" w:cs="Arial"/>
          <w:sz w:val="24"/>
          <w:szCs w:val="24"/>
          <w:shd w:val="clear" w:color="auto" w:fill="FFFFFF"/>
        </w:rPr>
        <w:t>prejudice the right to recover possession in the future in those circumstances, so the caretaker will be told that any payments received will be accepted as mesne profits, and should not be taken as an intention to create a new tenancy.</w:t>
      </w:r>
    </w:p>
    <w:p w14:paraId="596FB5FD" w14:textId="6CA6A895" w:rsidR="00332AA3" w:rsidRPr="00B60170" w:rsidRDefault="00B60170" w:rsidP="004546F6">
      <w:pPr>
        <w:spacing w:line="276" w:lineRule="auto"/>
        <w:rPr>
          <w:rFonts w:ascii="Arial" w:hAnsi="Arial" w:cs="Arial"/>
          <w:sz w:val="24"/>
          <w:szCs w:val="24"/>
        </w:rPr>
      </w:pPr>
      <w:r w:rsidRPr="00B60170">
        <w:rPr>
          <w:rFonts w:ascii="Arial" w:hAnsi="Arial" w:cs="Arial"/>
          <w:sz w:val="24"/>
          <w:szCs w:val="24"/>
        </w:rPr>
        <w:t>5</w:t>
      </w:r>
      <w:r w:rsidR="00332AA3" w:rsidRPr="00B60170">
        <w:rPr>
          <w:rFonts w:ascii="Arial" w:hAnsi="Arial" w:cs="Arial"/>
          <w:sz w:val="24"/>
          <w:szCs w:val="24"/>
        </w:rPr>
        <w:t>.6</w:t>
      </w:r>
      <w:r w:rsidR="00332AA3" w:rsidRPr="00B60170">
        <w:rPr>
          <w:rFonts w:ascii="Arial" w:hAnsi="Arial" w:cs="Arial"/>
          <w:sz w:val="24"/>
          <w:szCs w:val="24"/>
        </w:rPr>
        <w:tab/>
        <w:t>We will end the tenancy:</w:t>
      </w:r>
    </w:p>
    <w:p w14:paraId="203A12E7" w14:textId="0C5E9671" w:rsidR="00332AA3" w:rsidRPr="00B60170" w:rsidRDefault="00332AA3" w:rsidP="00332AA3">
      <w:pPr>
        <w:pStyle w:val="ListParagraph"/>
        <w:numPr>
          <w:ilvl w:val="0"/>
          <w:numId w:val="9"/>
        </w:numPr>
        <w:spacing w:line="276" w:lineRule="auto"/>
        <w:rPr>
          <w:rFonts w:cs="Arial"/>
          <w:szCs w:val="24"/>
        </w:rPr>
      </w:pPr>
      <w:r w:rsidRPr="00B60170">
        <w:rPr>
          <w:rFonts w:cs="Arial"/>
          <w:szCs w:val="24"/>
        </w:rPr>
        <w:t>Where there are the exceptions such as those in 1.2</w:t>
      </w:r>
    </w:p>
    <w:p w14:paraId="4EED187C" w14:textId="3AAE4D5F" w:rsidR="00332AA3" w:rsidRPr="00B60170" w:rsidRDefault="00332AA3" w:rsidP="00332AA3">
      <w:pPr>
        <w:numPr>
          <w:ilvl w:val="0"/>
          <w:numId w:val="9"/>
        </w:numPr>
        <w:overflowPunct w:val="0"/>
        <w:autoSpaceDE w:val="0"/>
        <w:autoSpaceDN w:val="0"/>
        <w:adjustRightInd w:val="0"/>
        <w:spacing w:after="0" w:line="276" w:lineRule="auto"/>
        <w:jc w:val="both"/>
        <w:textAlignment w:val="baseline"/>
        <w:rPr>
          <w:rFonts w:ascii="Arial" w:hAnsi="Arial" w:cs="Arial"/>
          <w:sz w:val="24"/>
          <w:szCs w:val="24"/>
        </w:rPr>
      </w:pPr>
      <w:r w:rsidRPr="00B60170">
        <w:rPr>
          <w:rFonts w:ascii="Arial" w:hAnsi="Arial" w:cs="Arial"/>
          <w:sz w:val="24"/>
          <w:szCs w:val="24"/>
        </w:rPr>
        <w:t xml:space="preserve">Where there is a Possession Order which the resident is in breach of. </w:t>
      </w:r>
    </w:p>
    <w:p w14:paraId="23BE19B6" w14:textId="3CEB78A4" w:rsidR="00332AA3" w:rsidRPr="00B60170" w:rsidRDefault="00B60170" w:rsidP="00332AA3">
      <w:pPr>
        <w:spacing w:after="0" w:line="276" w:lineRule="auto"/>
        <w:ind w:left="720"/>
        <w:rPr>
          <w:rFonts w:ascii="Arial" w:hAnsi="Arial" w:cs="Arial"/>
          <w:sz w:val="24"/>
          <w:szCs w:val="24"/>
        </w:rPr>
      </w:pPr>
      <w:r w:rsidRPr="00B60170">
        <w:rPr>
          <w:rFonts w:ascii="Arial" w:hAnsi="Arial" w:cs="Arial"/>
          <w:sz w:val="24"/>
          <w:szCs w:val="24"/>
        </w:rPr>
        <w:t>I</w:t>
      </w:r>
      <w:r w:rsidR="00332AA3" w:rsidRPr="00B60170">
        <w:rPr>
          <w:rFonts w:ascii="Arial" w:hAnsi="Arial" w:cs="Arial"/>
          <w:sz w:val="24"/>
          <w:szCs w:val="24"/>
        </w:rPr>
        <w:t xml:space="preserve">n </w:t>
      </w:r>
      <w:proofErr w:type="gramStart"/>
      <w:r w:rsidR="00332AA3" w:rsidRPr="00B60170">
        <w:rPr>
          <w:rFonts w:ascii="Arial" w:hAnsi="Arial" w:cs="Arial"/>
          <w:sz w:val="24"/>
          <w:szCs w:val="24"/>
        </w:rPr>
        <w:t>both of the above</w:t>
      </w:r>
      <w:proofErr w:type="gramEnd"/>
      <w:r w:rsidR="00332AA3" w:rsidRPr="00B60170">
        <w:rPr>
          <w:rFonts w:ascii="Arial" w:hAnsi="Arial" w:cs="Arial"/>
          <w:sz w:val="24"/>
          <w:szCs w:val="24"/>
        </w:rPr>
        <w:t xml:space="preserve"> two cases, Hexagon will take action whether or not the resident gives up the tenancy</w:t>
      </w:r>
      <w:r w:rsidRPr="00B60170">
        <w:rPr>
          <w:rFonts w:ascii="Arial" w:hAnsi="Arial" w:cs="Arial"/>
          <w:sz w:val="24"/>
          <w:szCs w:val="24"/>
        </w:rPr>
        <w:t>.</w:t>
      </w:r>
    </w:p>
    <w:p w14:paraId="38E908C8" w14:textId="39097ACE" w:rsidR="004546F6" w:rsidRPr="00B60170" w:rsidRDefault="004546F6" w:rsidP="004546F6">
      <w:pPr>
        <w:pStyle w:val="ListParagraph"/>
        <w:numPr>
          <w:ilvl w:val="0"/>
          <w:numId w:val="9"/>
        </w:numPr>
        <w:spacing w:line="276" w:lineRule="auto"/>
        <w:rPr>
          <w:rFonts w:cs="Arial"/>
          <w:szCs w:val="24"/>
        </w:rPr>
      </w:pPr>
      <w:r w:rsidRPr="00B60170">
        <w:rPr>
          <w:rFonts w:cs="Arial"/>
          <w:szCs w:val="24"/>
        </w:rPr>
        <w:t>Where the resident in prison is unable to find any way of ensuring that the rent i</w:t>
      </w:r>
      <w:r w:rsidR="00B60170" w:rsidRPr="00B60170">
        <w:rPr>
          <w:rFonts w:cs="Arial"/>
          <w:szCs w:val="24"/>
        </w:rPr>
        <w:t>s</w:t>
      </w:r>
      <w:r w:rsidRPr="00B60170">
        <w:rPr>
          <w:rFonts w:cs="Arial"/>
          <w:szCs w:val="24"/>
        </w:rPr>
        <w:t xml:space="preserve"> paid, they should be encouraged to give up the tenancy.</w:t>
      </w:r>
    </w:p>
    <w:p w14:paraId="75AAE602" w14:textId="42ECF6C4" w:rsidR="00332AA3" w:rsidRPr="00B60170" w:rsidRDefault="00332AA3" w:rsidP="00332AA3">
      <w:pPr>
        <w:pStyle w:val="ListParagraph"/>
        <w:numPr>
          <w:ilvl w:val="0"/>
          <w:numId w:val="9"/>
        </w:numPr>
        <w:spacing w:line="276" w:lineRule="auto"/>
        <w:rPr>
          <w:rFonts w:cs="Arial"/>
          <w:szCs w:val="24"/>
        </w:rPr>
      </w:pPr>
      <w:r w:rsidRPr="00B60170">
        <w:rPr>
          <w:rFonts w:cs="Arial"/>
          <w:szCs w:val="24"/>
        </w:rPr>
        <w:t>If the resident does not return to the property after the release date and it can be confirmed that the resident has been released from prison</w:t>
      </w:r>
      <w:r w:rsidR="00B60170" w:rsidRPr="00B60170">
        <w:rPr>
          <w:rFonts w:cs="Arial"/>
          <w:szCs w:val="24"/>
        </w:rPr>
        <w:t>.</w:t>
      </w:r>
    </w:p>
    <w:p w14:paraId="6213FBDC" w14:textId="4272B61A" w:rsidR="00332AA3" w:rsidRPr="00B60170" w:rsidRDefault="00332AA3" w:rsidP="00332AA3">
      <w:pPr>
        <w:pStyle w:val="ListParagraph"/>
        <w:numPr>
          <w:ilvl w:val="0"/>
          <w:numId w:val="9"/>
        </w:numPr>
        <w:spacing w:line="276" w:lineRule="auto"/>
        <w:rPr>
          <w:rFonts w:cs="Arial"/>
          <w:szCs w:val="24"/>
        </w:rPr>
      </w:pPr>
      <w:r w:rsidRPr="00B60170">
        <w:rPr>
          <w:rFonts w:cs="Arial"/>
          <w:szCs w:val="24"/>
        </w:rPr>
        <w:t xml:space="preserve">There is no response from the </w:t>
      </w:r>
      <w:proofErr w:type="gramStart"/>
      <w:r w:rsidRPr="00B60170">
        <w:rPr>
          <w:rFonts w:cs="Arial"/>
          <w:szCs w:val="24"/>
        </w:rPr>
        <w:t>resident</w:t>
      </w:r>
      <w:proofErr w:type="gramEnd"/>
      <w:r w:rsidRPr="00B60170">
        <w:rPr>
          <w:rFonts w:cs="Arial"/>
          <w:szCs w:val="24"/>
        </w:rPr>
        <w:t xml:space="preserve"> or they will not agree to any of the options above and arrears are rising, a NSP should be served and Possession Proceeding sta</w:t>
      </w:r>
      <w:r w:rsidR="00B60170" w:rsidRPr="00B60170">
        <w:rPr>
          <w:rFonts w:cs="Arial"/>
          <w:szCs w:val="24"/>
        </w:rPr>
        <w:t>r</w:t>
      </w:r>
      <w:r w:rsidRPr="00B60170">
        <w:rPr>
          <w:rFonts w:cs="Arial"/>
          <w:szCs w:val="24"/>
        </w:rPr>
        <w:t>ted in the normal way</w:t>
      </w:r>
      <w:r w:rsidR="00B60170" w:rsidRPr="00B60170">
        <w:rPr>
          <w:rFonts w:cs="Arial"/>
          <w:szCs w:val="24"/>
        </w:rPr>
        <w:t>.</w:t>
      </w:r>
    </w:p>
    <w:p w14:paraId="1A081D92" w14:textId="77777777" w:rsidR="00332AA3" w:rsidRPr="00B60170" w:rsidRDefault="00332AA3" w:rsidP="00332AA3">
      <w:pPr>
        <w:pStyle w:val="ListParagraph"/>
        <w:spacing w:line="276" w:lineRule="auto"/>
        <w:rPr>
          <w:rFonts w:cs="Arial"/>
          <w:szCs w:val="24"/>
        </w:rPr>
      </w:pPr>
    </w:p>
    <w:p w14:paraId="28B0E937" w14:textId="52EB8B3B" w:rsidR="00332AA3" w:rsidRPr="00B60170" w:rsidRDefault="00332AA3" w:rsidP="00B60170">
      <w:pPr>
        <w:pStyle w:val="ListParagraph"/>
        <w:numPr>
          <w:ilvl w:val="0"/>
          <w:numId w:val="5"/>
        </w:numPr>
        <w:spacing w:line="276" w:lineRule="auto"/>
        <w:rPr>
          <w:rFonts w:cs="Arial"/>
          <w:b/>
          <w:bCs/>
          <w:szCs w:val="24"/>
        </w:rPr>
      </w:pPr>
      <w:r w:rsidRPr="00B60170">
        <w:rPr>
          <w:rFonts w:cs="Arial"/>
          <w:b/>
          <w:bCs/>
          <w:szCs w:val="24"/>
        </w:rPr>
        <w:t xml:space="preserve">Relevant legislation and guidance </w:t>
      </w:r>
    </w:p>
    <w:p w14:paraId="0453B147" w14:textId="77777777" w:rsidR="002F462F" w:rsidRPr="00B60170" w:rsidRDefault="002F462F" w:rsidP="002F462F">
      <w:pPr>
        <w:pStyle w:val="ListParagraph"/>
        <w:numPr>
          <w:ilvl w:val="0"/>
          <w:numId w:val="10"/>
        </w:numPr>
        <w:tabs>
          <w:tab w:val="left" w:pos="2400"/>
        </w:tabs>
        <w:overflowPunct/>
        <w:autoSpaceDE/>
        <w:autoSpaceDN/>
        <w:adjustRightInd/>
        <w:spacing w:after="200" w:line="276" w:lineRule="auto"/>
        <w:textAlignment w:val="auto"/>
        <w:rPr>
          <w:rFonts w:cs="Arial"/>
          <w:szCs w:val="24"/>
        </w:rPr>
      </w:pPr>
      <w:r w:rsidRPr="00B60170">
        <w:rPr>
          <w:rFonts w:cs="Arial"/>
          <w:szCs w:val="24"/>
        </w:rPr>
        <w:t>Housing Act 1985</w:t>
      </w:r>
    </w:p>
    <w:p w14:paraId="19C49CB4" w14:textId="77777777" w:rsidR="002F462F" w:rsidRPr="00B60170" w:rsidRDefault="002F462F" w:rsidP="002F462F">
      <w:pPr>
        <w:pStyle w:val="ListParagraph"/>
        <w:numPr>
          <w:ilvl w:val="0"/>
          <w:numId w:val="10"/>
        </w:numPr>
        <w:tabs>
          <w:tab w:val="left" w:pos="2400"/>
        </w:tabs>
        <w:overflowPunct/>
        <w:autoSpaceDE/>
        <w:autoSpaceDN/>
        <w:adjustRightInd/>
        <w:spacing w:after="200" w:line="276" w:lineRule="auto"/>
        <w:textAlignment w:val="auto"/>
        <w:rPr>
          <w:rFonts w:cs="Arial"/>
          <w:szCs w:val="24"/>
        </w:rPr>
      </w:pPr>
      <w:r w:rsidRPr="00B60170">
        <w:rPr>
          <w:rFonts w:cs="Arial"/>
          <w:szCs w:val="24"/>
        </w:rPr>
        <w:t>Housing Act 1988</w:t>
      </w:r>
    </w:p>
    <w:p w14:paraId="26BC69CD" w14:textId="77777777" w:rsidR="002F462F" w:rsidRPr="00B60170" w:rsidRDefault="002F462F" w:rsidP="002F462F">
      <w:pPr>
        <w:pStyle w:val="ListParagraph"/>
        <w:numPr>
          <w:ilvl w:val="0"/>
          <w:numId w:val="10"/>
        </w:numPr>
        <w:tabs>
          <w:tab w:val="left" w:pos="2400"/>
        </w:tabs>
        <w:overflowPunct/>
        <w:autoSpaceDE/>
        <w:autoSpaceDN/>
        <w:adjustRightInd/>
        <w:spacing w:after="200" w:line="276" w:lineRule="auto"/>
        <w:textAlignment w:val="auto"/>
        <w:rPr>
          <w:rFonts w:cs="Arial"/>
          <w:szCs w:val="24"/>
        </w:rPr>
      </w:pPr>
      <w:r w:rsidRPr="00B60170">
        <w:rPr>
          <w:rFonts w:cs="Arial"/>
          <w:szCs w:val="24"/>
        </w:rPr>
        <w:t>TORTS (Interference with Goods Act) 1977</w:t>
      </w:r>
    </w:p>
    <w:p w14:paraId="31492CC1" w14:textId="3813B8D5" w:rsidR="0097104F" w:rsidRPr="00B60170" w:rsidRDefault="002F462F" w:rsidP="002F462F">
      <w:pPr>
        <w:pStyle w:val="ListParagraph"/>
        <w:numPr>
          <w:ilvl w:val="0"/>
          <w:numId w:val="10"/>
        </w:numPr>
        <w:spacing w:line="276" w:lineRule="auto"/>
        <w:rPr>
          <w:rFonts w:cs="Arial"/>
          <w:szCs w:val="24"/>
        </w:rPr>
      </w:pPr>
      <w:r w:rsidRPr="00B60170">
        <w:rPr>
          <w:rFonts w:cs="Arial"/>
          <w:szCs w:val="24"/>
        </w:rPr>
        <w:t>Protection from Eviction Act 1977</w:t>
      </w:r>
    </w:p>
    <w:p w14:paraId="67A6A23C" w14:textId="77777777" w:rsidR="002F462F" w:rsidRPr="00B60170" w:rsidRDefault="002F462F" w:rsidP="002F462F">
      <w:pPr>
        <w:pStyle w:val="ListParagraph"/>
        <w:spacing w:line="276" w:lineRule="auto"/>
        <w:ind w:left="1429"/>
        <w:rPr>
          <w:rFonts w:cs="Arial"/>
          <w:szCs w:val="24"/>
        </w:rPr>
      </w:pPr>
    </w:p>
    <w:p w14:paraId="680B1993" w14:textId="640E8B35" w:rsidR="00332AA3" w:rsidRPr="00B60170" w:rsidRDefault="00B32DAD" w:rsidP="00332AA3">
      <w:pPr>
        <w:pStyle w:val="ListParagraph"/>
        <w:numPr>
          <w:ilvl w:val="0"/>
          <w:numId w:val="5"/>
        </w:numPr>
        <w:spacing w:line="276" w:lineRule="auto"/>
        <w:ind w:left="709" w:hanging="709"/>
        <w:rPr>
          <w:rFonts w:cs="Arial"/>
          <w:b/>
          <w:bCs/>
          <w:szCs w:val="24"/>
        </w:rPr>
      </w:pPr>
      <w:r w:rsidRPr="00B60170">
        <w:rPr>
          <w:rFonts w:cs="Arial"/>
          <w:b/>
          <w:bCs/>
          <w:szCs w:val="24"/>
        </w:rPr>
        <w:t xml:space="preserve">Relevant Hexagon </w:t>
      </w:r>
      <w:r w:rsidR="00B60170">
        <w:rPr>
          <w:rFonts w:cs="Arial"/>
          <w:b/>
          <w:bCs/>
          <w:szCs w:val="24"/>
        </w:rPr>
        <w:t>p</w:t>
      </w:r>
      <w:r w:rsidRPr="00B60170">
        <w:rPr>
          <w:rFonts w:cs="Arial"/>
          <w:b/>
          <w:bCs/>
          <w:szCs w:val="24"/>
        </w:rPr>
        <w:t xml:space="preserve">olicies and </w:t>
      </w:r>
      <w:r w:rsidR="00B60170">
        <w:rPr>
          <w:rFonts w:cs="Arial"/>
          <w:b/>
          <w:bCs/>
          <w:szCs w:val="24"/>
        </w:rPr>
        <w:t>p</w:t>
      </w:r>
      <w:r w:rsidRPr="00B60170">
        <w:rPr>
          <w:rFonts w:cs="Arial"/>
          <w:b/>
          <w:bCs/>
          <w:szCs w:val="24"/>
        </w:rPr>
        <w:t>rocedures</w:t>
      </w:r>
    </w:p>
    <w:p w14:paraId="61D7EF4B" w14:textId="1B200C8C" w:rsidR="002F462F" w:rsidRPr="00B60170" w:rsidRDefault="002F462F" w:rsidP="002F462F">
      <w:pPr>
        <w:pStyle w:val="ListParagraph"/>
        <w:numPr>
          <w:ilvl w:val="0"/>
          <w:numId w:val="10"/>
        </w:numPr>
        <w:spacing w:line="276" w:lineRule="auto"/>
        <w:rPr>
          <w:rFonts w:cs="Arial"/>
          <w:b/>
          <w:bCs/>
          <w:szCs w:val="24"/>
        </w:rPr>
      </w:pPr>
      <w:r w:rsidRPr="00B60170">
        <w:rPr>
          <w:rFonts w:cs="Arial"/>
          <w:szCs w:val="24"/>
        </w:rPr>
        <w:t>ASB Policy 2020</w:t>
      </w:r>
    </w:p>
    <w:p w14:paraId="378E1CEB" w14:textId="75F74AF7" w:rsidR="009B0209" w:rsidRPr="00B60170" w:rsidRDefault="009B0209" w:rsidP="002F462F">
      <w:pPr>
        <w:pStyle w:val="ListParagraph"/>
        <w:numPr>
          <w:ilvl w:val="0"/>
          <w:numId w:val="10"/>
        </w:numPr>
        <w:spacing w:line="276" w:lineRule="auto"/>
        <w:rPr>
          <w:rFonts w:cs="Arial"/>
          <w:b/>
          <w:bCs/>
          <w:szCs w:val="24"/>
        </w:rPr>
      </w:pPr>
      <w:r w:rsidRPr="00B60170">
        <w:rPr>
          <w:rFonts w:cs="Arial"/>
          <w:szCs w:val="24"/>
        </w:rPr>
        <w:t>Domestic Violence Policy 2020</w:t>
      </w:r>
    </w:p>
    <w:p w14:paraId="5464D037" w14:textId="49B391AC" w:rsidR="002F462F" w:rsidRPr="00B60170" w:rsidRDefault="002F462F" w:rsidP="002F462F">
      <w:pPr>
        <w:pStyle w:val="ListParagraph"/>
        <w:numPr>
          <w:ilvl w:val="0"/>
          <w:numId w:val="10"/>
        </w:numPr>
        <w:spacing w:line="276" w:lineRule="auto"/>
        <w:rPr>
          <w:rFonts w:cs="Arial"/>
          <w:szCs w:val="24"/>
        </w:rPr>
      </w:pPr>
      <w:r w:rsidRPr="00B60170">
        <w:rPr>
          <w:rFonts w:cs="Arial"/>
          <w:szCs w:val="24"/>
        </w:rPr>
        <w:t>ASB Absolute Possession Procedure 2018</w:t>
      </w:r>
    </w:p>
    <w:p w14:paraId="08E8471C" w14:textId="57C7BB19" w:rsidR="002F462F" w:rsidRPr="00B60170" w:rsidRDefault="002F462F" w:rsidP="002F462F">
      <w:pPr>
        <w:pStyle w:val="ListParagraph"/>
        <w:numPr>
          <w:ilvl w:val="0"/>
          <w:numId w:val="10"/>
        </w:numPr>
        <w:spacing w:line="276" w:lineRule="auto"/>
        <w:rPr>
          <w:rFonts w:cs="Arial"/>
          <w:szCs w:val="24"/>
        </w:rPr>
      </w:pPr>
      <w:r w:rsidRPr="00B60170">
        <w:rPr>
          <w:rFonts w:cs="Arial"/>
          <w:szCs w:val="24"/>
        </w:rPr>
        <w:t>Abandonment, Illegal Oc</w:t>
      </w:r>
      <w:r w:rsidR="00B60170">
        <w:rPr>
          <w:rFonts w:cs="Arial"/>
          <w:szCs w:val="24"/>
        </w:rPr>
        <w:t>c</w:t>
      </w:r>
      <w:r w:rsidRPr="00B60170">
        <w:rPr>
          <w:rFonts w:cs="Arial"/>
          <w:szCs w:val="24"/>
        </w:rPr>
        <w:t>upants and Subletting policy 2018</w:t>
      </w:r>
    </w:p>
    <w:p w14:paraId="1F4A320B" w14:textId="16D1ABAA" w:rsidR="00973D1D" w:rsidRPr="00B60170" w:rsidRDefault="00973D1D" w:rsidP="002F462F">
      <w:pPr>
        <w:pStyle w:val="ListParagraph"/>
        <w:numPr>
          <w:ilvl w:val="0"/>
          <w:numId w:val="10"/>
        </w:numPr>
        <w:spacing w:line="276" w:lineRule="auto"/>
        <w:rPr>
          <w:rFonts w:cs="Arial"/>
          <w:szCs w:val="24"/>
        </w:rPr>
      </w:pPr>
      <w:r w:rsidRPr="00B60170">
        <w:rPr>
          <w:rFonts w:cs="Arial"/>
          <w:szCs w:val="24"/>
        </w:rPr>
        <w:t>Residents in Prison Procedure 2021</w:t>
      </w:r>
    </w:p>
    <w:p w14:paraId="639D5445" w14:textId="33B21465" w:rsidR="00332AA3" w:rsidRPr="00B60170" w:rsidRDefault="00332AA3" w:rsidP="00332AA3">
      <w:pPr>
        <w:pStyle w:val="ListParagraph"/>
        <w:spacing w:line="276" w:lineRule="auto"/>
        <w:rPr>
          <w:rFonts w:cs="Arial"/>
          <w:szCs w:val="24"/>
        </w:rPr>
      </w:pPr>
    </w:p>
    <w:p w14:paraId="0D0D2024" w14:textId="089D9B89" w:rsidR="004546F6" w:rsidRPr="00B60170" w:rsidRDefault="004546F6" w:rsidP="004546F6">
      <w:pPr>
        <w:spacing w:line="276" w:lineRule="auto"/>
        <w:rPr>
          <w:rFonts w:ascii="Arial" w:hAnsi="Arial" w:cs="Arial"/>
          <w:sz w:val="24"/>
          <w:szCs w:val="24"/>
        </w:rPr>
      </w:pPr>
    </w:p>
    <w:sectPr w:rsidR="004546F6" w:rsidRPr="00B60170" w:rsidSect="008834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3CB5C" w14:textId="77777777" w:rsidR="0075434C" w:rsidRDefault="0075434C" w:rsidP="004546F6">
      <w:pPr>
        <w:spacing w:after="0" w:line="240" w:lineRule="auto"/>
      </w:pPr>
      <w:r>
        <w:separator/>
      </w:r>
    </w:p>
  </w:endnote>
  <w:endnote w:type="continuationSeparator" w:id="0">
    <w:p w14:paraId="41981160" w14:textId="77777777" w:rsidR="0075434C" w:rsidRDefault="0075434C" w:rsidP="004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F483" w14:textId="77777777" w:rsidR="00883492" w:rsidRDefault="0088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851297"/>
      <w:docPartObj>
        <w:docPartGallery w:val="Page Numbers (Bottom of Page)"/>
        <w:docPartUnique/>
      </w:docPartObj>
    </w:sdtPr>
    <w:sdtEndPr>
      <w:rPr>
        <w:noProof/>
      </w:rPr>
    </w:sdtEndPr>
    <w:sdtContent>
      <w:p w14:paraId="09C989A8" w14:textId="4AC5D865" w:rsidR="00883492" w:rsidRDefault="008834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821B5" w14:textId="77777777" w:rsidR="00883492" w:rsidRDefault="0088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5630" w14:textId="77777777" w:rsidR="00883492" w:rsidRDefault="0088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AD07" w14:textId="77777777" w:rsidR="0075434C" w:rsidRDefault="0075434C" w:rsidP="004546F6">
      <w:pPr>
        <w:spacing w:after="0" w:line="240" w:lineRule="auto"/>
      </w:pPr>
      <w:r>
        <w:separator/>
      </w:r>
    </w:p>
  </w:footnote>
  <w:footnote w:type="continuationSeparator" w:id="0">
    <w:p w14:paraId="2B3EDC34" w14:textId="77777777" w:rsidR="0075434C" w:rsidRDefault="0075434C" w:rsidP="0045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F5AB" w14:textId="77777777" w:rsidR="00883492" w:rsidRDefault="0088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3C22" w14:textId="52BEB594" w:rsidR="004546F6" w:rsidRDefault="004546F6">
    <w:pPr>
      <w:pStyle w:val="Header"/>
    </w:pPr>
    <w:r>
      <w:rPr>
        <w:noProof/>
        <w:lang w:eastAsia="en-GB"/>
      </w:rPr>
      <w:drawing>
        <wp:inline distT="0" distB="0" distL="0" distR="0" wp14:anchorId="7948E167" wp14:editId="7BFC292C">
          <wp:extent cx="1660525" cy="715010"/>
          <wp:effectExtent l="0" t="0" r="0" b="0"/>
          <wp:docPr id="9" name="Picture 9"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_Logo_Positiv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15010"/>
                  </a:xfrm>
                  <a:prstGeom prst="rect">
                    <a:avLst/>
                  </a:prstGeom>
                  <a:noFill/>
                  <a:ln>
                    <a:noFill/>
                  </a:ln>
                </pic:spPr>
              </pic:pic>
            </a:graphicData>
          </a:graphic>
        </wp:inline>
      </w:drawing>
    </w:r>
  </w:p>
  <w:p w14:paraId="5827DA2A" w14:textId="77777777" w:rsidR="004546F6" w:rsidRDefault="00454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6DFC" w14:textId="77777777" w:rsidR="00883492" w:rsidRDefault="0088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8E31FE"/>
    <w:lvl w:ilvl="0">
      <w:numFmt w:val="bullet"/>
      <w:lvlText w:val="*"/>
      <w:lvlJc w:val="left"/>
    </w:lvl>
  </w:abstractNum>
  <w:abstractNum w:abstractNumId="1" w15:restartNumberingAfterBreak="0">
    <w:nsid w:val="11C85CE1"/>
    <w:multiLevelType w:val="hybridMultilevel"/>
    <w:tmpl w:val="BAA61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45642"/>
    <w:multiLevelType w:val="hybridMultilevel"/>
    <w:tmpl w:val="779AD6C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387406D4"/>
    <w:multiLevelType w:val="hybridMultilevel"/>
    <w:tmpl w:val="39F4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387"/>
    <w:multiLevelType w:val="multilevel"/>
    <w:tmpl w:val="A5D206D8"/>
    <w:lvl w:ilvl="0">
      <w:start w:val="6"/>
      <w:numFmt w:val="decimal"/>
      <w:lvlText w:val="%1.0"/>
      <w:lvlJc w:val="left"/>
      <w:pPr>
        <w:ind w:left="720" w:hanging="720"/>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542" w:hanging="1080"/>
      </w:pPr>
      <w:rPr>
        <w:rFonts w:hint="default"/>
      </w:rPr>
    </w:lvl>
    <w:lvl w:ilvl="4">
      <w:start w:val="1"/>
      <w:numFmt w:val="decimal"/>
      <w:lvlText w:val="%1.%2.%3.%4.%5"/>
      <w:lvlJc w:val="left"/>
      <w:pPr>
        <w:ind w:left="3262" w:hanging="1080"/>
      </w:pPr>
      <w:rPr>
        <w:rFonts w:hint="default"/>
      </w:rPr>
    </w:lvl>
    <w:lvl w:ilvl="5">
      <w:start w:val="1"/>
      <w:numFmt w:val="decimal"/>
      <w:lvlText w:val="%1.%2.%3.%4.%5.%6"/>
      <w:lvlJc w:val="left"/>
      <w:pPr>
        <w:ind w:left="4342" w:hanging="1440"/>
      </w:pPr>
      <w:rPr>
        <w:rFonts w:hint="default"/>
      </w:rPr>
    </w:lvl>
    <w:lvl w:ilvl="6">
      <w:start w:val="1"/>
      <w:numFmt w:val="decimal"/>
      <w:lvlText w:val="%1.%2.%3.%4.%5.%6.%7"/>
      <w:lvlJc w:val="left"/>
      <w:pPr>
        <w:ind w:left="5062" w:hanging="1440"/>
      </w:pPr>
      <w:rPr>
        <w:rFonts w:hint="default"/>
      </w:rPr>
    </w:lvl>
    <w:lvl w:ilvl="7">
      <w:start w:val="1"/>
      <w:numFmt w:val="decimal"/>
      <w:lvlText w:val="%1.%2.%3.%4.%5.%6.%7.%8"/>
      <w:lvlJc w:val="left"/>
      <w:pPr>
        <w:ind w:left="6142" w:hanging="1800"/>
      </w:pPr>
      <w:rPr>
        <w:rFonts w:hint="default"/>
      </w:rPr>
    </w:lvl>
    <w:lvl w:ilvl="8">
      <w:start w:val="1"/>
      <w:numFmt w:val="decimal"/>
      <w:lvlText w:val="%1.%2.%3.%4.%5.%6.%7.%8.%9"/>
      <w:lvlJc w:val="left"/>
      <w:pPr>
        <w:ind w:left="6862" w:hanging="1800"/>
      </w:pPr>
      <w:rPr>
        <w:rFonts w:hint="default"/>
      </w:rPr>
    </w:lvl>
  </w:abstractNum>
  <w:abstractNum w:abstractNumId="6" w15:restartNumberingAfterBreak="0">
    <w:nsid w:val="42241BFF"/>
    <w:multiLevelType w:val="hybridMultilevel"/>
    <w:tmpl w:val="2EAE1D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CFF7ED8"/>
    <w:multiLevelType w:val="hybridMultilevel"/>
    <w:tmpl w:val="F6B8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45343B"/>
    <w:multiLevelType w:val="hybridMultilevel"/>
    <w:tmpl w:val="680634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0EF5341"/>
    <w:multiLevelType w:val="hybridMultilevel"/>
    <w:tmpl w:val="63BE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3"/>
  </w:num>
  <w:num w:numId="4">
    <w:abstractNumId w:val="10"/>
  </w:num>
  <w:num w:numId="5">
    <w:abstractNumId w:val="5"/>
  </w:num>
  <w:num w:numId="6">
    <w:abstractNumId w:val="1"/>
  </w:num>
  <w:num w:numId="7">
    <w:abstractNumId w:val="6"/>
  </w:num>
  <w:num w:numId="8">
    <w:abstractNumId w:val="8"/>
  </w:num>
  <w:num w:numId="9">
    <w:abstractNumId w:val="4"/>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F6"/>
    <w:rsid w:val="00143878"/>
    <w:rsid w:val="001A05B2"/>
    <w:rsid w:val="001A6D10"/>
    <w:rsid w:val="001F6934"/>
    <w:rsid w:val="002F462F"/>
    <w:rsid w:val="00332AA3"/>
    <w:rsid w:val="003677BD"/>
    <w:rsid w:val="003E4E41"/>
    <w:rsid w:val="003E62F1"/>
    <w:rsid w:val="004068A6"/>
    <w:rsid w:val="004546F6"/>
    <w:rsid w:val="00590784"/>
    <w:rsid w:val="0075434C"/>
    <w:rsid w:val="007D1820"/>
    <w:rsid w:val="00883492"/>
    <w:rsid w:val="008F7F09"/>
    <w:rsid w:val="0097104F"/>
    <w:rsid w:val="00973D1D"/>
    <w:rsid w:val="009A18EA"/>
    <w:rsid w:val="009B0209"/>
    <w:rsid w:val="00A54B49"/>
    <w:rsid w:val="00AA7A46"/>
    <w:rsid w:val="00B32DAD"/>
    <w:rsid w:val="00B60170"/>
    <w:rsid w:val="00BA7794"/>
    <w:rsid w:val="00C540D7"/>
    <w:rsid w:val="00C5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CF7"/>
  <w15:chartTrackingRefBased/>
  <w15:docId w15:val="{5B834B3F-A2AD-4C9A-8DFB-1E68EE6E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F6"/>
  </w:style>
  <w:style w:type="paragraph" w:styleId="Footer">
    <w:name w:val="footer"/>
    <w:basedOn w:val="Normal"/>
    <w:link w:val="FooterChar"/>
    <w:uiPriority w:val="99"/>
    <w:unhideWhenUsed/>
    <w:rsid w:val="0045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F6"/>
  </w:style>
  <w:style w:type="character" w:styleId="Hyperlink">
    <w:name w:val="Hyperlink"/>
    <w:basedOn w:val="DefaultParagraphFont"/>
    <w:rsid w:val="004546F6"/>
    <w:rPr>
      <w:color w:val="0000FF"/>
      <w:u w:val="single"/>
    </w:rPr>
  </w:style>
  <w:style w:type="paragraph" w:styleId="ListParagraph">
    <w:name w:val="List Paragraph"/>
    <w:basedOn w:val="Normal"/>
    <w:uiPriority w:val="34"/>
    <w:qFormat/>
    <w:rsid w:val="004546F6"/>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1F69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09"/>
    <w:rPr>
      <w:rFonts w:ascii="Segoe UI" w:hAnsi="Segoe UI" w:cs="Segoe UI"/>
      <w:sz w:val="18"/>
      <w:szCs w:val="18"/>
    </w:rPr>
  </w:style>
  <w:style w:type="character" w:styleId="CommentReference">
    <w:name w:val="annotation reference"/>
    <w:basedOn w:val="DefaultParagraphFont"/>
    <w:uiPriority w:val="99"/>
    <w:semiHidden/>
    <w:unhideWhenUsed/>
    <w:rsid w:val="009B0209"/>
    <w:rPr>
      <w:sz w:val="16"/>
      <w:szCs w:val="16"/>
    </w:rPr>
  </w:style>
  <w:style w:type="paragraph" w:styleId="CommentText">
    <w:name w:val="annotation text"/>
    <w:basedOn w:val="Normal"/>
    <w:link w:val="CommentTextChar"/>
    <w:uiPriority w:val="99"/>
    <w:semiHidden/>
    <w:unhideWhenUsed/>
    <w:rsid w:val="009B0209"/>
    <w:pPr>
      <w:spacing w:line="240" w:lineRule="auto"/>
    </w:pPr>
    <w:rPr>
      <w:sz w:val="20"/>
      <w:szCs w:val="20"/>
    </w:rPr>
  </w:style>
  <w:style w:type="character" w:customStyle="1" w:styleId="CommentTextChar">
    <w:name w:val="Comment Text Char"/>
    <w:basedOn w:val="DefaultParagraphFont"/>
    <w:link w:val="CommentText"/>
    <w:uiPriority w:val="99"/>
    <w:semiHidden/>
    <w:rsid w:val="009B0209"/>
    <w:rPr>
      <w:sz w:val="20"/>
      <w:szCs w:val="20"/>
    </w:rPr>
  </w:style>
  <w:style w:type="paragraph" w:styleId="CommentSubject">
    <w:name w:val="annotation subject"/>
    <w:basedOn w:val="CommentText"/>
    <w:next w:val="CommentText"/>
    <w:link w:val="CommentSubjectChar"/>
    <w:uiPriority w:val="99"/>
    <w:semiHidden/>
    <w:unhideWhenUsed/>
    <w:rsid w:val="009B0209"/>
    <w:rPr>
      <w:b/>
      <w:bCs/>
    </w:rPr>
  </w:style>
  <w:style w:type="character" w:customStyle="1" w:styleId="CommentSubjectChar">
    <w:name w:val="Comment Subject Char"/>
    <w:basedOn w:val="CommentTextChar"/>
    <w:link w:val="CommentSubject"/>
    <w:uiPriority w:val="99"/>
    <w:semiHidden/>
    <w:rsid w:val="009B0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Hexagon Housing Association</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Eyles</dc:creator>
  <cp:keywords/>
  <dc:description/>
  <cp:lastModifiedBy>Judith</cp:lastModifiedBy>
  <cp:revision>3</cp:revision>
  <dcterms:created xsi:type="dcterms:W3CDTF">2021-06-23T06:20:00Z</dcterms:created>
  <dcterms:modified xsi:type="dcterms:W3CDTF">2021-06-23T06:24:00Z</dcterms:modified>
</cp:coreProperties>
</file>