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5F79" w14:textId="5A300690" w:rsidR="004546F6" w:rsidRDefault="000048CD" w:rsidP="004546F6">
      <w:pPr>
        <w:spacing w:line="276" w:lineRule="auto"/>
        <w:rPr>
          <w:rFonts w:ascii="Arial" w:hAnsi="Arial" w:cs="Arial"/>
          <w:b/>
          <w:bCs/>
          <w:sz w:val="32"/>
          <w:szCs w:val="32"/>
        </w:rPr>
      </w:pPr>
      <w:r>
        <w:rPr>
          <w:rFonts w:ascii="Arial" w:hAnsi="Arial" w:cs="Arial"/>
          <w:b/>
          <w:bCs/>
          <w:sz w:val="32"/>
          <w:szCs w:val="32"/>
        </w:rPr>
        <w:t xml:space="preserve">Tenancy </w:t>
      </w:r>
      <w:r w:rsidR="003A2E83">
        <w:rPr>
          <w:rFonts w:ascii="Arial" w:hAnsi="Arial" w:cs="Arial"/>
          <w:b/>
          <w:bCs/>
          <w:sz w:val="32"/>
          <w:szCs w:val="32"/>
        </w:rPr>
        <w:t xml:space="preserve">Changes </w:t>
      </w:r>
      <w:r w:rsidR="004546F6" w:rsidRPr="00D44404">
        <w:rPr>
          <w:rFonts w:ascii="Arial" w:hAnsi="Arial" w:cs="Arial"/>
          <w:b/>
          <w:bCs/>
          <w:sz w:val="32"/>
          <w:szCs w:val="32"/>
        </w:rPr>
        <w:t>Policy</w:t>
      </w:r>
      <w:r w:rsidR="001A6D10" w:rsidRPr="00D44404">
        <w:rPr>
          <w:rFonts w:ascii="Arial" w:hAnsi="Arial" w:cs="Arial"/>
          <w:b/>
          <w:bCs/>
          <w:sz w:val="32"/>
          <w:szCs w:val="32"/>
        </w:rPr>
        <w:t xml:space="preserve"> 2021</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tblGrid>
      <w:tr w:rsidR="00D44404" w:rsidRPr="005E68D7" w14:paraId="5DC0EAC7" w14:textId="77777777" w:rsidTr="006A0ECB">
        <w:tc>
          <w:tcPr>
            <w:tcW w:w="2088" w:type="dxa"/>
            <w:shd w:val="clear" w:color="auto" w:fill="auto"/>
          </w:tcPr>
          <w:p w14:paraId="484CA35C" w14:textId="77777777" w:rsidR="00D44404" w:rsidRPr="005E68D7" w:rsidRDefault="00D44404" w:rsidP="006A0ECB">
            <w:pPr>
              <w:rPr>
                <w:rFonts w:cs="Arial"/>
                <w:sz w:val="20"/>
              </w:rPr>
            </w:pPr>
            <w:r w:rsidRPr="005E68D7">
              <w:rPr>
                <w:rFonts w:cs="Arial"/>
                <w:sz w:val="20"/>
              </w:rPr>
              <w:t>Version</w:t>
            </w:r>
          </w:p>
        </w:tc>
        <w:tc>
          <w:tcPr>
            <w:tcW w:w="4320" w:type="dxa"/>
            <w:shd w:val="clear" w:color="auto" w:fill="auto"/>
          </w:tcPr>
          <w:p w14:paraId="3F23DC22" w14:textId="7C0676AC" w:rsidR="00D44404" w:rsidRPr="005E68D7" w:rsidRDefault="00D44404" w:rsidP="006A0ECB">
            <w:pPr>
              <w:rPr>
                <w:rFonts w:cs="Arial"/>
                <w:i/>
                <w:sz w:val="20"/>
              </w:rPr>
            </w:pPr>
            <w:r w:rsidRPr="005E68D7">
              <w:rPr>
                <w:rFonts w:cs="Arial"/>
                <w:i/>
                <w:sz w:val="20"/>
              </w:rPr>
              <w:t>1.</w:t>
            </w:r>
            <w:r>
              <w:rPr>
                <w:rFonts w:cs="Arial"/>
                <w:i/>
                <w:sz w:val="20"/>
              </w:rPr>
              <w:t>0</w:t>
            </w:r>
          </w:p>
        </w:tc>
      </w:tr>
      <w:tr w:rsidR="00D44404" w:rsidRPr="005E68D7" w14:paraId="70FF7C9F" w14:textId="77777777" w:rsidTr="006A0ECB">
        <w:tc>
          <w:tcPr>
            <w:tcW w:w="2088" w:type="dxa"/>
            <w:shd w:val="clear" w:color="auto" w:fill="auto"/>
          </w:tcPr>
          <w:p w14:paraId="4CFBB9BF" w14:textId="77777777" w:rsidR="00D44404" w:rsidRPr="005E68D7" w:rsidRDefault="00D44404" w:rsidP="006A0ECB">
            <w:pPr>
              <w:rPr>
                <w:rFonts w:cs="Arial"/>
                <w:sz w:val="20"/>
              </w:rPr>
            </w:pPr>
            <w:r w:rsidRPr="005E68D7">
              <w:rPr>
                <w:rFonts w:cs="Arial"/>
                <w:sz w:val="20"/>
              </w:rPr>
              <w:t>Prepared by</w:t>
            </w:r>
          </w:p>
        </w:tc>
        <w:tc>
          <w:tcPr>
            <w:tcW w:w="4320" w:type="dxa"/>
            <w:shd w:val="clear" w:color="auto" w:fill="auto"/>
          </w:tcPr>
          <w:p w14:paraId="7011ABFA" w14:textId="07C5D748" w:rsidR="00D44404" w:rsidRPr="005E68D7" w:rsidRDefault="00D44404" w:rsidP="006A0ECB">
            <w:pPr>
              <w:rPr>
                <w:rFonts w:cs="Arial"/>
                <w:i/>
                <w:sz w:val="20"/>
              </w:rPr>
            </w:pPr>
            <w:r>
              <w:rPr>
                <w:rFonts w:cs="Arial"/>
                <w:i/>
                <w:sz w:val="20"/>
              </w:rPr>
              <w:t>Policy Officer/</w:t>
            </w:r>
            <w:r w:rsidR="000048CD">
              <w:rPr>
                <w:rFonts w:cs="Arial"/>
                <w:i/>
                <w:sz w:val="20"/>
              </w:rPr>
              <w:t>Neighbourhood Services Manager</w:t>
            </w:r>
          </w:p>
        </w:tc>
      </w:tr>
      <w:tr w:rsidR="00D44404" w:rsidRPr="005E68D7" w14:paraId="494684DA" w14:textId="77777777" w:rsidTr="006A0ECB">
        <w:tc>
          <w:tcPr>
            <w:tcW w:w="2088" w:type="dxa"/>
            <w:shd w:val="clear" w:color="auto" w:fill="auto"/>
          </w:tcPr>
          <w:p w14:paraId="145CC1B2" w14:textId="77777777" w:rsidR="00D44404" w:rsidRPr="005E68D7" w:rsidRDefault="00D44404" w:rsidP="006A0ECB">
            <w:pPr>
              <w:rPr>
                <w:rFonts w:cs="Arial"/>
                <w:sz w:val="20"/>
              </w:rPr>
            </w:pPr>
            <w:r w:rsidRPr="005E68D7">
              <w:rPr>
                <w:rFonts w:cs="Arial"/>
                <w:sz w:val="20"/>
              </w:rPr>
              <w:t>Approved by</w:t>
            </w:r>
          </w:p>
        </w:tc>
        <w:tc>
          <w:tcPr>
            <w:tcW w:w="4320" w:type="dxa"/>
            <w:shd w:val="clear" w:color="auto" w:fill="auto"/>
          </w:tcPr>
          <w:p w14:paraId="457F8CBA" w14:textId="5DCB32F6" w:rsidR="00D44404" w:rsidRPr="005E68D7" w:rsidRDefault="00527870" w:rsidP="006A0ECB">
            <w:pPr>
              <w:rPr>
                <w:rFonts w:cs="Arial"/>
                <w:i/>
                <w:sz w:val="20"/>
              </w:rPr>
            </w:pPr>
            <w:r>
              <w:rPr>
                <w:rFonts w:cs="Arial"/>
                <w:i/>
                <w:sz w:val="20"/>
              </w:rPr>
              <w:t>Rebecca</w:t>
            </w:r>
            <w:r w:rsidR="00B2065A">
              <w:rPr>
                <w:rFonts w:cs="Arial"/>
                <w:i/>
                <w:sz w:val="20"/>
              </w:rPr>
              <w:t xml:space="preserve"> Outram Housing Services Director</w:t>
            </w:r>
          </w:p>
        </w:tc>
      </w:tr>
      <w:tr w:rsidR="00D44404" w:rsidRPr="005E68D7" w14:paraId="21F1F1D7" w14:textId="77777777" w:rsidTr="006A0ECB">
        <w:tc>
          <w:tcPr>
            <w:tcW w:w="2088" w:type="dxa"/>
            <w:shd w:val="clear" w:color="auto" w:fill="auto"/>
          </w:tcPr>
          <w:p w14:paraId="31636B66" w14:textId="77777777" w:rsidR="00D44404" w:rsidRPr="005E68D7" w:rsidRDefault="00D44404" w:rsidP="006A0ECB">
            <w:pPr>
              <w:rPr>
                <w:rFonts w:cs="Arial"/>
                <w:sz w:val="20"/>
              </w:rPr>
            </w:pPr>
            <w:r w:rsidRPr="005E68D7">
              <w:rPr>
                <w:rFonts w:cs="Arial"/>
                <w:sz w:val="20"/>
              </w:rPr>
              <w:t>Approved date</w:t>
            </w:r>
          </w:p>
        </w:tc>
        <w:tc>
          <w:tcPr>
            <w:tcW w:w="4320" w:type="dxa"/>
            <w:shd w:val="clear" w:color="auto" w:fill="auto"/>
          </w:tcPr>
          <w:p w14:paraId="4E1BF77A" w14:textId="67BB3219" w:rsidR="00D44404" w:rsidRPr="005E68D7" w:rsidRDefault="00B2065A" w:rsidP="006A0ECB">
            <w:pPr>
              <w:rPr>
                <w:rFonts w:cs="Arial"/>
                <w:i/>
                <w:sz w:val="20"/>
              </w:rPr>
            </w:pPr>
            <w:r>
              <w:rPr>
                <w:rFonts w:cs="Arial"/>
                <w:i/>
                <w:sz w:val="20"/>
              </w:rPr>
              <w:t>22</w:t>
            </w:r>
            <w:r w:rsidRPr="00B2065A">
              <w:rPr>
                <w:rFonts w:cs="Arial"/>
                <w:i/>
                <w:sz w:val="20"/>
                <w:vertAlign w:val="superscript"/>
              </w:rPr>
              <w:t>nd</w:t>
            </w:r>
            <w:r>
              <w:rPr>
                <w:rFonts w:cs="Arial"/>
                <w:i/>
                <w:sz w:val="20"/>
              </w:rPr>
              <w:t xml:space="preserve"> October 2021</w:t>
            </w:r>
          </w:p>
        </w:tc>
      </w:tr>
      <w:tr w:rsidR="00D44404" w:rsidRPr="005E68D7" w14:paraId="37C00D5E" w14:textId="77777777" w:rsidTr="006A0ECB">
        <w:tc>
          <w:tcPr>
            <w:tcW w:w="2088" w:type="dxa"/>
            <w:shd w:val="clear" w:color="auto" w:fill="auto"/>
          </w:tcPr>
          <w:p w14:paraId="59D79BDF" w14:textId="77777777" w:rsidR="00D44404" w:rsidRPr="005E68D7" w:rsidRDefault="00D44404" w:rsidP="006A0ECB">
            <w:pPr>
              <w:rPr>
                <w:rFonts w:cs="Arial"/>
                <w:sz w:val="20"/>
              </w:rPr>
            </w:pPr>
            <w:r w:rsidRPr="005E68D7">
              <w:rPr>
                <w:rFonts w:cs="Arial"/>
                <w:sz w:val="20"/>
              </w:rPr>
              <w:t>Date of last review</w:t>
            </w:r>
          </w:p>
        </w:tc>
        <w:tc>
          <w:tcPr>
            <w:tcW w:w="4320" w:type="dxa"/>
            <w:shd w:val="clear" w:color="auto" w:fill="auto"/>
          </w:tcPr>
          <w:p w14:paraId="3F83A0E3" w14:textId="772033D1" w:rsidR="00D44404" w:rsidRPr="005E68D7" w:rsidRDefault="00B2065A" w:rsidP="006A0ECB">
            <w:pPr>
              <w:rPr>
                <w:rFonts w:cs="Arial"/>
                <w:i/>
                <w:sz w:val="20"/>
              </w:rPr>
            </w:pPr>
            <w:r>
              <w:rPr>
                <w:rFonts w:cs="Arial"/>
                <w:i/>
                <w:sz w:val="20"/>
              </w:rPr>
              <w:t>New policy – previously Granting Tenancies</w:t>
            </w:r>
          </w:p>
        </w:tc>
      </w:tr>
      <w:tr w:rsidR="00D44404" w:rsidRPr="005E68D7" w14:paraId="44CF1BE1" w14:textId="77777777" w:rsidTr="006A0ECB">
        <w:tc>
          <w:tcPr>
            <w:tcW w:w="2088" w:type="dxa"/>
            <w:shd w:val="clear" w:color="auto" w:fill="auto"/>
          </w:tcPr>
          <w:p w14:paraId="5DCD8E03" w14:textId="77777777" w:rsidR="00D44404" w:rsidRPr="005E68D7" w:rsidRDefault="00D44404" w:rsidP="006A0ECB">
            <w:pPr>
              <w:rPr>
                <w:rFonts w:cs="Arial"/>
                <w:sz w:val="20"/>
              </w:rPr>
            </w:pPr>
            <w:r w:rsidRPr="005E68D7">
              <w:rPr>
                <w:rFonts w:cs="Arial"/>
                <w:sz w:val="20"/>
              </w:rPr>
              <w:t>Document Owner</w:t>
            </w:r>
          </w:p>
        </w:tc>
        <w:tc>
          <w:tcPr>
            <w:tcW w:w="4320" w:type="dxa"/>
            <w:shd w:val="clear" w:color="auto" w:fill="auto"/>
          </w:tcPr>
          <w:p w14:paraId="31CDF224" w14:textId="5F6CDA1B" w:rsidR="00D44404" w:rsidRPr="005E68D7" w:rsidRDefault="008945F7" w:rsidP="006A0ECB">
            <w:pPr>
              <w:rPr>
                <w:rFonts w:cs="Arial"/>
                <w:i/>
                <w:sz w:val="20"/>
              </w:rPr>
            </w:pPr>
            <w:r>
              <w:rPr>
                <w:rFonts w:cs="Arial"/>
                <w:i/>
                <w:sz w:val="20"/>
              </w:rPr>
              <w:t>Housing Services</w:t>
            </w:r>
            <w:r w:rsidR="00B2065A">
              <w:rPr>
                <w:rFonts w:cs="Arial"/>
                <w:i/>
                <w:sz w:val="20"/>
              </w:rPr>
              <w:t xml:space="preserve"> </w:t>
            </w:r>
            <w:r w:rsidR="00B2065A">
              <w:rPr>
                <w:rFonts w:cs="Arial"/>
                <w:i/>
                <w:sz w:val="20"/>
              </w:rPr>
              <w:t xml:space="preserve">Director </w:t>
            </w:r>
          </w:p>
        </w:tc>
      </w:tr>
      <w:tr w:rsidR="00D44404" w:rsidRPr="005E68D7" w14:paraId="06031CEA" w14:textId="77777777" w:rsidTr="006A0ECB">
        <w:tc>
          <w:tcPr>
            <w:tcW w:w="2088" w:type="dxa"/>
            <w:shd w:val="clear" w:color="auto" w:fill="auto"/>
          </w:tcPr>
          <w:p w14:paraId="586D678B" w14:textId="77777777" w:rsidR="00D44404" w:rsidRPr="005E68D7" w:rsidRDefault="00D44404" w:rsidP="006A0ECB">
            <w:pPr>
              <w:rPr>
                <w:rFonts w:cs="Arial"/>
                <w:sz w:val="20"/>
              </w:rPr>
            </w:pPr>
            <w:r w:rsidRPr="005E68D7">
              <w:rPr>
                <w:rFonts w:cs="Arial"/>
                <w:sz w:val="20"/>
              </w:rPr>
              <w:t>Date of Next Review</w:t>
            </w:r>
          </w:p>
        </w:tc>
        <w:tc>
          <w:tcPr>
            <w:tcW w:w="4320" w:type="dxa"/>
            <w:shd w:val="clear" w:color="auto" w:fill="auto"/>
          </w:tcPr>
          <w:p w14:paraId="782A3368" w14:textId="66AE5C83" w:rsidR="00D44404" w:rsidRPr="005E68D7" w:rsidRDefault="00B2065A" w:rsidP="00D44404">
            <w:pPr>
              <w:rPr>
                <w:rFonts w:cs="Arial"/>
                <w:i/>
                <w:sz w:val="20"/>
              </w:rPr>
            </w:pPr>
            <w:r>
              <w:rPr>
                <w:rFonts w:cs="Arial"/>
                <w:i/>
                <w:sz w:val="20"/>
              </w:rPr>
              <w:t xml:space="preserve">October </w:t>
            </w:r>
            <w:r w:rsidR="00D44404">
              <w:rPr>
                <w:rFonts w:cs="Arial"/>
                <w:i/>
                <w:sz w:val="20"/>
              </w:rPr>
              <w:t>2024</w:t>
            </w:r>
          </w:p>
        </w:tc>
      </w:tr>
      <w:tr w:rsidR="00D44404" w:rsidRPr="005E68D7" w14:paraId="2C9AAC47" w14:textId="77777777" w:rsidTr="006A0ECB">
        <w:tc>
          <w:tcPr>
            <w:tcW w:w="2088" w:type="dxa"/>
            <w:shd w:val="clear" w:color="auto" w:fill="auto"/>
          </w:tcPr>
          <w:p w14:paraId="4078E180" w14:textId="77777777" w:rsidR="00D44404" w:rsidRPr="005E68D7" w:rsidRDefault="00D44404" w:rsidP="006A0ECB">
            <w:pPr>
              <w:rPr>
                <w:rFonts w:cs="Arial"/>
                <w:sz w:val="20"/>
              </w:rPr>
            </w:pPr>
            <w:r>
              <w:rPr>
                <w:rFonts w:cs="Arial"/>
                <w:sz w:val="20"/>
              </w:rPr>
              <w:t>Lines of Defence/how is the document audited?</w:t>
            </w:r>
          </w:p>
        </w:tc>
        <w:tc>
          <w:tcPr>
            <w:tcW w:w="4320" w:type="dxa"/>
            <w:shd w:val="clear" w:color="auto" w:fill="auto"/>
          </w:tcPr>
          <w:p w14:paraId="6FD63019" w14:textId="4AB8F873" w:rsidR="00D44404" w:rsidRDefault="00D44404" w:rsidP="00203AAF">
            <w:pPr>
              <w:pStyle w:val="ListParagraph"/>
              <w:numPr>
                <w:ilvl w:val="0"/>
                <w:numId w:val="5"/>
              </w:numPr>
              <w:overflowPunct/>
              <w:autoSpaceDE/>
              <w:autoSpaceDN/>
              <w:adjustRightInd/>
              <w:spacing w:after="200" w:line="276" w:lineRule="auto"/>
              <w:textAlignment w:val="auto"/>
              <w:rPr>
                <w:rFonts w:cs="Arial"/>
                <w:i/>
                <w:sz w:val="20"/>
              </w:rPr>
            </w:pPr>
            <w:r>
              <w:rPr>
                <w:rFonts w:cs="Arial"/>
                <w:i/>
                <w:sz w:val="20"/>
              </w:rPr>
              <w:t xml:space="preserve">Approval by </w:t>
            </w:r>
            <w:r w:rsidR="00AD544E">
              <w:rPr>
                <w:rFonts w:cs="Arial"/>
                <w:i/>
                <w:sz w:val="20"/>
              </w:rPr>
              <w:t>HSD</w:t>
            </w:r>
          </w:p>
          <w:p w14:paraId="27A24834" w14:textId="0FB19FAD" w:rsidR="000048CD" w:rsidRDefault="00AC68E1" w:rsidP="00203AAF">
            <w:pPr>
              <w:pStyle w:val="ListParagraph"/>
              <w:numPr>
                <w:ilvl w:val="0"/>
                <w:numId w:val="5"/>
              </w:numPr>
              <w:overflowPunct/>
              <w:autoSpaceDE/>
              <w:autoSpaceDN/>
              <w:adjustRightInd/>
              <w:spacing w:after="200" w:line="276" w:lineRule="auto"/>
              <w:textAlignment w:val="auto"/>
              <w:rPr>
                <w:rFonts w:cs="Arial"/>
                <w:i/>
                <w:sz w:val="20"/>
              </w:rPr>
            </w:pPr>
            <w:r>
              <w:rPr>
                <w:rFonts w:cs="Arial"/>
                <w:i/>
                <w:sz w:val="20"/>
              </w:rPr>
              <w:t>Through one to ones with Team Leaders</w:t>
            </w:r>
          </w:p>
          <w:p w14:paraId="2BAD2615" w14:textId="5DBF56CD" w:rsidR="00D44404" w:rsidRPr="00EA6782" w:rsidRDefault="008945F7" w:rsidP="00203AAF">
            <w:pPr>
              <w:pStyle w:val="ListParagraph"/>
              <w:numPr>
                <w:ilvl w:val="0"/>
                <w:numId w:val="5"/>
              </w:numPr>
              <w:overflowPunct/>
              <w:autoSpaceDE/>
              <w:autoSpaceDN/>
              <w:adjustRightInd/>
              <w:spacing w:after="200" w:line="276" w:lineRule="auto"/>
              <w:textAlignment w:val="auto"/>
              <w:rPr>
                <w:rFonts w:cs="Arial"/>
                <w:i/>
                <w:sz w:val="20"/>
              </w:rPr>
            </w:pPr>
            <w:r>
              <w:rPr>
                <w:rFonts w:cs="Arial"/>
                <w:i/>
                <w:sz w:val="20"/>
              </w:rPr>
              <w:t xml:space="preserve">Reviewed via Hexagon’s </w:t>
            </w:r>
            <w:r w:rsidR="00D44404">
              <w:rPr>
                <w:rFonts w:cs="Arial"/>
                <w:i/>
                <w:sz w:val="20"/>
              </w:rPr>
              <w:t>Internal Audit programme</w:t>
            </w:r>
          </w:p>
        </w:tc>
      </w:tr>
    </w:tbl>
    <w:p w14:paraId="03DCCA61" w14:textId="77777777" w:rsidR="00D44404" w:rsidRPr="00D44404" w:rsidRDefault="00D44404" w:rsidP="004546F6">
      <w:pPr>
        <w:spacing w:line="276" w:lineRule="auto"/>
        <w:rPr>
          <w:rFonts w:ascii="Arial" w:hAnsi="Arial" w:cs="Arial"/>
          <w:b/>
          <w:bCs/>
          <w:sz w:val="32"/>
          <w:szCs w:val="32"/>
        </w:rPr>
      </w:pPr>
    </w:p>
    <w:p w14:paraId="1A2B9A62" w14:textId="77777777" w:rsidR="001F6934" w:rsidRPr="001F6934" w:rsidRDefault="001F6934" w:rsidP="004546F6">
      <w:pPr>
        <w:spacing w:line="276" w:lineRule="auto"/>
        <w:rPr>
          <w:rFonts w:ascii="Arial" w:hAnsi="Arial" w:cs="Arial"/>
          <w:b/>
          <w:bCs/>
          <w:sz w:val="24"/>
          <w:szCs w:val="24"/>
        </w:rPr>
      </w:pPr>
    </w:p>
    <w:p w14:paraId="20FFDF9A" w14:textId="77777777" w:rsidR="00D44404" w:rsidRDefault="00D4440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8116"/>
      </w:tblGrid>
      <w:tr w:rsidR="00993AFB" w:rsidRPr="006E40AE" w14:paraId="66AC6F2C" w14:textId="77777777" w:rsidTr="00AD5D66">
        <w:tc>
          <w:tcPr>
            <w:tcW w:w="910" w:type="dxa"/>
          </w:tcPr>
          <w:p w14:paraId="55516D3E" w14:textId="65F271AD" w:rsidR="00993AFB" w:rsidRPr="006E40AE" w:rsidRDefault="00993AFB" w:rsidP="00203AAF">
            <w:pPr>
              <w:pStyle w:val="ListParagraph"/>
              <w:numPr>
                <w:ilvl w:val="0"/>
                <w:numId w:val="4"/>
              </w:numPr>
              <w:spacing w:line="276" w:lineRule="auto"/>
              <w:rPr>
                <w:rFonts w:cs="Arial"/>
                <w:b/>
                <w:bCs/>
                <w:sz w:val="28"/>
                <w:szCs w:val="28"/>
              </w:rPr>
            </w:pPr>
          </w:p>
        </w:tc>
        <w:tc>
          <w:tcPr>
            <w:tcW w:w="8116" w:type="dxa"/>
          </w:tcPr>
          <w:p w14:paraId="19943B1C" w14:textId="5B06E8F0" w:rsidR="00993AFB" w:rsidRPr="006E40AE" w:rsidRDefault="00993AFB" w:rsidP="00251826">
            <w:pPr>
              <w:spacing w:line="276" w:lineRule="auto"/>
              <w:rPr>
                <w:rFonts w:ascii="Arial" w:hAnsi="Arial" w:cs="Arial"/>
                <w:b/>
                <w:bCs/>
                <w:sz w:val="28"/>
                <w:szCs w:val="28"/>
              </w:rPr>
            </w:pPr>
            <w:r w:rsidRPr="006E40AE">
              <w:rPr>
                <w:rFonts w:ascii="Arial" w:hAnsi="Arial" w:cs="Arial"/>
                <w:b/>
                <w:bCs/>
                <w:sz w:val="28"/>
                <w:szCs w:val="28"/>
              </w:rPr>
              <w:t>Scope and aims</w:t>
            </w:r>
          </w:p>
        </w:tc>
      </w:tr>
      <w:tr w:rsidR="00432BF0" w:rsidRPr="009E2856" w14:paraId="0929A60B" w14:textId="77777777" w:rsidTr="00AD5D66">
        <w:tc>
          <w:tcPr>
            <w:tcW w:w="910" w:type="dxa"/>
          </w:tcPr>
          <w:p w14:paraId="228494A9" w14:textId="77777777" w:rsidR="00432BF0" w:rsidRPr="002D6C4B" w:rsidRDefault="00432BF0" w:rsidP="002D6C4B">
            <w:pPr>
              <w:pStyle w:val="ListParagraph"/>
              <w:spacing w:line="276" w:lineRule="auto"/>
              <w:ind w:left="360"/>
              <w:rPr>
                <w:rFonts w:cs="Arial"/>
                <w:b/>
                <w:bCs/>
                <w:szCs w:val="24"/>
              </w:rPr>
            </w:pPr>
          </w:p>
        </w:tc>
        <w:tc>
          <w:tcPr>
            <w:tcW w:w="8116" w:type="dxa"/>
          </w:tcPr>
          <w:p w14:paraId="5347EBB0" w14:textId="77777777" w:rsidR="00432BF0" w:rsidRPr="009E2856" w:rsidRDefault="00432BF0" w:rsidP="00251826">
            <w:pPr>
              <w:spacing w:line="276" w:lineRule="auto"/>
              <w:rPr>
                <w:rFonts w:ascii="Arial" w:hAnsi="Arial" w:cs="Arial"/>
                <w:b/>
                <w:bCs/>
                <w:sz w:val="24"/>
                <w:szCs w:val="24"/>
              </w:rPr>
            </w:pPr>
          </w:p>
        </w:tc>
      </w:tr>
      <w:tr w:rsidR="00993AFB" w:rsidRPr="009E2856" w14:paraId="10D9FE82" w14:textId="77777777" w:rsidTr="00AD5D66">
        <w:tc>
          <w:tcPr>
            <w:tcW w:w="910" w:type="dxa"/>
          </w:tcPr>
          <w:p w14:paraId="2B832C53" w14:textId="77777777" w:rsidR="00993AFB" w:rsidRPr="002D6C4B" w:rsidRDefault="00993AFB" w:rsidP="002D6C4B">
            <w:pPr>
              <w:pStyle w:val="ListParagraph"/>
              <w:spacing w:line="276" w:lineRule="auto"/>
              <w:ind w:left="360"/>
              <w:rPr>
                <w:rFonts w:cs="Arial"/>
                <w:szCs w:val="24"/>
              </w:rPr>
            </w:pPr>
          </w:p>
        </w:tc>
        <w:tc>
          <w:tcPr>
            <w:tcW w:w="8116" w:type="dxa"/>
          </w:tcPr>
          <w:p w14:paraId="6380278C" w14:textId="4BF2FC48" w:rsidR="002A73EA" w:rsidRPr="000048CD" w:rsidRDefault="00432BF0" w:rsidP="005B4C41">
            <w:pPr>
              <w:pStyle w:val="ListParagraph"/>
              <w:numPr>
                <w:ilvl w:val="1"/>
                <w:numId w:val="2"/>
              </w:numPr>
              <w:spacing w:line="276" w:lineRule="auto"/>
              <w:ind w:left="681" w:hanging="681"/>
              <w:rPr>
                <w:rFonts w:cs="Arial"/>
                <w:szCs w:val="24"/>
              </w:rPr>
            </w:pPr>
            <w:r w:rsidRPr="000048CD">
              <w:rPr>
                <w:rFonts w:cs="Arial"/>
                <w:szCs w:val="24"/>
              </w:rPr>
              <w:t>This policy cover</w:t>
            </w:r>
            <w:r w:rsidR="00F44D10" w:rsidRPr="000048CD">
              <w:rPr>
                <w:rFonts w:cs="Arial"/>
                <w:szCs w:val="24"/>
              </w:rPr>
              <w:t xml:space="preserve">s </w:t>
            </w:r>
            <w:r w:rsidR="000048CD" w:rsidRPr="000048CD">
              <w:rPr>
                <w:rFonts w:cs="Arial"/>
                <w:szCs w:val="24"/>
              </w:rPr>
              <w:t xml:space="preserve">the granting of </w:t>
            </w:r>
            <w:r w:rsidR="007B50DD">
              <w:rPr>
                <w:rFonts w:cs="Arial"/>
                <w:szCs w:val="24"/>
              </w:rPr>
              <w:t xml:space="preserve">new </w:t>
            </w:r>
            <w:r w:rsidR="000048CD" w:rsidRPr="000048CD">
              <w:rPr>
                <w:rFonts w:cs="Arial"/>
                <w:szCs w:val="24"/>
              </w:rPr>
              <w:t>tenancies</w:t>
            </w:r>
            <w:r w:rsidR="007B50DD">
              <w:rPr>
                <w:rFonts w:cs="Arial"/>
                <w:szCs w:val="24"/>
              </w:rPr>
              <w:t xml:space="preserve">, and </w:t>
            </w:r>
            <w:r w:rsidR="000048CD" w:rsidRPr="000048CD">
              <w:rPr>
                <w:rFonts w:cs="Arial"/>
                <w:szCs w:val="24"/>
              </w:rPr>
              <w:t>changes to existing tenancies</w:t>
            </w:r>
            <w:r w:rsidR="007B50DD">
              <w:rPr>
                <w:rFonts w:cs="Arial"/>
                <w:szCs w:val="24"/>
              </w:rPr>
              <w:t>.  It reflects Hexagon’s position on sole and joint tenancies.</w:t>
            </w:r>
            <w:r w:rsidR="000048CD" w:rsidRPr="000048CD">
              <w:rPr>
                <w:rFonts w:cs="Arial"/>
                <w:szCs w:val="24"/>
              </w:rPr>
              <w:t xml:space="preserve"> </w:t>
            </w:r>
          </w:p>
          <w:p w14:paraId="0031C833" w14:textId="73AFD86A" w:rsidR="00993AFB" w:rsidRPr="000048CD" w:rsidRDefault="00993AFB" w:rsidP="000048CD">
            <w:pPr>
              <w:spacing w:line="276" w:lineRule="auto"/>
              <w:rPr>
                <w:rFonts w:cs="Arial"/>
                <w:szCs w:val="24"/>
              </w:rPr>
            </w:pPr>
          </w:p>
        </w:tc>
      </w:tr>
      <w:tr w:rsidR="00993AFB" w:rsidRPr="009E2856" w14:paraId="459BB3B0" w14:textId="77777777" w:rsidTr="00AD5D66">
        <w:tc>
          <w:tcPr>
            <w:tcW w:w="910" w:type="dxa"/>
          </w:tcPr>
          <w:p w14:paraId="0B5C754E" w14:textId="77777777" w:rsidR="00993AFB" w:rsidRPr="002D6C4B" w:rsidRDefault="00993AFB" w:rsidP="00203AAF">
            <w:pPr>
              <w:pStyle w:val="ListParagraph"/>
              <w:numPr>
                <w:ilvl w:val="1"/>
                <w:numId w:val="4"/>
              </w:numPr>
              <w:spacing w:line="276" w:lineRule="auto"/>
              <w:rPr>
                <w:rFonts w:cs="Arial"/>
                <w:szCs w:val="24"/>
              </w:rPr>
            </w:pPr>
          </w:p>
        </w:tc>
        <w:tc>
          <w:tcPr>
            <w:tcW w:w="8116" w:type="dxa"/>
          </w:tcPr>
          <w:p w14:paraId="57725BEB" w14:textId="17F33E81" w:rsidR="007B50DD" w:rsidRPr="007B50DD" w:rsidRDefault="007B50DD" w:rsidP="005B4C41">
            <w:pPr>
              <w:pStyle w:val="ListParagraph"/>
              <w:numPr>
                <w:ilvl w:val="1"/>
                <w:numId w:val="2"/>
              </w:numPr>
              <w:spacing w:line="276" w:lineRule="auto"/>
              <w:ind w:left="681" w:hanging="681"/>
              <w:rPr>
                <w:rFonts w:cs="Arial"/>
                <w:szCs w:val="24"/>
              </w:rPr>
            </w:pPr>
            <w:r>
              <w:rPr>
                <w:rFonts w:cs="Arial"/>
                <w:szCs w:val="24"/>
              </w:rPr>
              <w:t xml:space="preserve">Residents </w:t>
            </w:r>
            <w:r>
              <w:t xml:space="preserve">may </w:t>
            </w:r>
            <w:r w:rsidR="00F635EB">
              <w:t xml:space="preserve">be granted or </w:t>
            </w:r>
            <w:r>
              <w:t>hold sole or joint tenancies. This policy outlines how Hexagon will respond to requests from residents to change their tenancies.</w:t>
            </w:r>
          </w:p>
          <w:p w14:paraId="2647BAC4" w14:textId="77777777" w:rsidR="007B50DD" w:rsidRDefault="007B50DD" w:rsidP="005B4C41">
            <w:pPr>
              <w:pStyle w:val="ListParagraph"/>
              <w:spacing w:line="276" w:lineRule="auto"/>
              <w:ind w:left="681" w:hanging="681"/>
              <w:rPr>
                <w:rFonts w:cs="Arial"/>
                <w:szCs w:val="24"/>
              </w:rPr>
            </w:pPr>
          </w:p>
          <w:p w14:paraId="634D70CD" w14:textId="1675AD23" w:rsidR="00D0523A" w:rsidRDefault="000048CD" w:rsidP="005B4C41">
            <w:pPr>
              <w:pStyle w:val="ListParagraph"/>
              <w:numPr>
                <w:ilvl w:val="1"/>
                <w:numId w:val="2"/>
              </w:numPr>
              <w:spacing w:line="276" w:lineRule="auto"/>
              <w:ind w:left="681" w:hanging="681"/>
              <w:rPr>
                <w:rFonts w:cs="Arial"/>
                <w:szCs w:val="24"/>
              </w:rPr>
            </w:pPr>
            <w:r>
              <w:rPr>
                <w:rFonts w:cs="Arial"/>
                <w:szCs w:val="24"/>
              </w:rPr>
              <w:t xml:space="preserve">The policy applies to all residents who are granted a new Hexagon  tenancy and those residents who </w:t>
            </w:r>
            <w:r w:rsidR="009C2CFB">
              <w:rPr>
                <w:rFonts w:cs="Arial"/>
                <w:szCs w:val="24"/>
              </w:rPr>
              <w:t xml:space="preserve">request </w:t>
            </w:r>
            <w:r>
              <w:rPr>
                <w:rFonts w:cs="Arial"/>
                <w:szCs w:val="24"/>
              </w:rPr>
              <w:t>changes to the tenancy</w:t>
            </w:r>
            <w:r w:rsidR="00422465">
              <w:rPr>
                <w:rFonts w:cs="Arial"/>
                <w:szCs w:val="24"/>
              </w:rPr>
              <w:t>.</w:t>
            </w:r>
          </w:p>
          <w:p w14:paraId="1D2711B1" w14:textId="77777777" w:rsidR="00422465" w:rsidRDefault="00422465" w:rsidP="005B4C41">
            <w:pPr>
              <w:pStyle w:val="ListParagraph"/>
              <w:spacing w:line="276" w:lineRule="auto"/>
              <w:ind w:left="681" w:hanging="681"/>
              <w:rPr>
                <w:rFonts w:cs="Arial"/>
                <w:szCs w:val="24"/>
              </w:rPr>
            </w:pPr>
          </w:p>
          <w:p w14:paraId="0431E3EB" w14:textId="05CD1C1B" w:rsidR="00422465" w:rsidRDefault="00422465" w:rsidP="005B4C41">
            <w:pPr>
              <w:pStyle w:val="ListParagraph"/>
              <w:numPr>
                <w:ilvl w:val="1"/>
                <w:numId w:val="2"/>
              </w:numPr>
              <w:spacing w:line="276" w:lineRule="auto"/>
              <w:ind w:left="681" w:hanging="681"/>
              <w:rPr>
                <w:rFonts w:cs="Arial"/>
                <w:szCs w:val="24"/>
              </w:rPr>
            </w:pPr>
            <w:r>
              <w:rPr>
                <w:rFonts w:cs="Arial"/>
                <w:szCs w:val="24"/>
              </w:rPr>
              <w:t>The policy aims to:</w:t>
            </w:r>
          </w:p>
          <w:p w14:paraId="67B123F4" w14:textId="77777777" w:rsidR="00FA0A57" w:rsidRPr="00FA0A57" w:rsidRDefault="00FE1E48" w:rsidP="005B4C41">
            <w:pPr>
              <w:pStyle w:val="ListParagraph"/>
              <w:numPr>
                <w:ilvl w:val="0"/>
                <w:numId w:val="8"/>
              </w:numPr>
              <w:spacing w:line="276" w:lineRule="auto"/>
              <w:ind w:left="1248" w:hanging="463"/>
              <w:rPr>
                <w:rFonts w:cs="Arial"/>
                <w:szCs w:val="24"/>
              </w:rPr>
            </w:pPr>
            <w:r>
              <w:t xml:space="preserve">Clarify the terminology and difference between joint tenancy and sole tenancy. </w:t>
            </w:r>
          </w:p>
          <w:p w14:paraId="6AE27416" w14:textId="77777777" w:rsidR="00FA0A57" w:rsidRPr="00FA0A57" w:rsidRDefault="00FE1E48" w:rsidP="005B4C41">
            <w:pPr>
              <w:pStyle w:val="ListParagraph"/>
              <w:numPr>
                <w:ilvl w:val="0"/>
                <w:numId w:val="8"/>
              </w:numPr>
              <w:spacing w:line="276" w:lineRule="auto"/>
              <w:ind w:left="1248" w:hanging="463"/>
              <w:rPr>
                <w:rFonts w:cs="Arial"/>
                <w:szCs w:val="24"/>
              </w:rPr>
            </w:pPr>
            <w:r>
              <w:t xml:space="preserve">Explain when a joint tenancy can be granted to new </w:t>
            </w:r>
            <w:r w:rsidR="00FA0A57">
              <w:t>residents</w:t>
            </w:r>
          </w:p>
          <w:p w14:paraId="205EA510" w14:textId="59189345" w:rsidR="00FE1E48" w:rsidRPr="00FE1E48" w:rsidRDefault="00FE1E48" w:rsidP="005B4C41">
            <w:pPr>
              <w:pStyle w:val="ListParagraph"/>
              <w:numPr>
                <w:ilvl w:val="0"/>
                <w:numId w:val="8"/>
              </w:numPr>
              <w:spacing w:line="276" w:lineRule="auto"/>
              <w:ind w:left="1248" w:hanging="463"/>
              <w:rPr>
                <w:rFonts w:cs="Arial"/>
                <w:szCs w:val="24"/>
              </w:rPr>
            </w:pPr>
            <w:r>
              <w:t xml:space="preserve">Explain when existing </w:t>
            </w:r>
            <w:r w:rsidR="00FA0A57">
              <w:t>resident</w:t>
            </w:r>
            <w:r>
              <w:t>s can request changes to their tenancy.</w:t>
            </w:r>
          </w:p>
          <w:p w14:paraId="2DE306B3" w14:textId="77777777" w:rsidR="00FE1E48" w:rsidRDefault="00FE1E48" w:rsidP="005B4C41">
            <w:pPr>
              <w:pStyle w:val="ListParagraph"/>
              <w:numPr>
                <w:ilvl w:val="0"/>
                <w:numId w:val="8"/>
              </w:numPr>
              <w:spacing w:line="276" w:lineRule="auto"/>
              <w:ind w:left="1248" w:hanging="463"/>
              <w:rPr>
                <w:rFonts w:cs="Arial"/>
                <w:szCs w:val="24"/>
              </w:rPr>
            </w:pPr>
            <w:r>
              <w:rPr>
                <w:rFonts w:cs="Arial"/>
                <w:szCs w:val="24"/>
              </w:rPr>
              <w:t>Provide an excellent service to residents who are granted a new tenancy or changes to an existing one</w:t>
            </w:r>
            <w:r>
              <w:t xml:space="preserve"> in accordance with best practice and the law.</w:t>
            </w:r>
          </w:p>
          <w:p w14:paraId="7984BCF7" w14:textId="77777777" w:rsidR="00FE1E48" w:rsidRDefault="00FE1E48" w:rsidP="005B4C41">
            <w:pPr>
              <w:pStyle w:val="ListParagraph"/>
              <w:numPr>
                <w:ilvl w:val="0"/>
                <w:numId w:val="8"/>
              </w:numPr>
              <w:spacing w:line="276" w:lineRule="auto"/>
              <w:ind w:left="1248" w:hanging="463"/>
              <w:rPr>
                <w:rFonts w:cs="Arial"/>
                <w:szCs w:val="24"/>
              </w:rPr>
            </w:pPr>
            <w:r>
              <w:rPr>
                <w:rFonts w:cs="Arial"/>
                <w:szCs w:val="24"/>
              </w:rPr>
              <w:t>Prevent fraud occurring</w:t>
            </w:r>
          </w:p>
          <w:p w14:paraId="578BEBD4" w14:textId="2F248640" w:rsidR="00FE1E48" w:rsidRPr="00FA0A57" w:rsidRDefault="00FE1E48" w:rsidP="005B4C41">
            <w:pPr>
              <w:pStyle w:val="ListParagraph"/>
              <w:numPr>
                <w:ilvl w:val="0"/>
                <w:numId w:val="8"/>
              </w:numPr>
              <w:spacing w:line="276" w:lineRule="auto"/>
              <w:ind w:left="1248" w:hanging="463"/>
              <w:rPr>
                <w:rFonts w:cs="Arial"/>
                <w:szCs w:val="24"/>
              </w:rPr>
            </w:pPr>
            <w:r>
              <w:rPr>
                <w:rFonts w:cs="Arial"/>
                <w:szCs w:val="24"/>
              </w:rPr>
              <w:t>Maximise the use of the housing stock</w:t>
            </w:r>
          </w:p>
          <w:p w14:paraId="4773EEC4" w14:textId="21CCF5D5" w:rsidR="00993AFB" w:rsidRPr="009E2856" w:rsidRDefault="00993AFB" w:rsidP="004B2B95">
            <w:pPr>
              <w:pStyle w:val="ListParagraph"/>
              <w:spacing w:line="276" w:lineRule="auto"/>
              <w:rPr>
                <w:rFonts w:cs="Arial"/>
                <w:szCs w:val="24"/>
              </w:rPr>
            </w:pPr>
          </w:p>
        </w:tc>
      </w:tr>
      <w:tr w:rsidR="00D0523A" w:rsidRPr="007B50DD" w14:paraId="611D35D1" w14:textId="77777777" w:rsidTr="00AD5D66">
        <w:tc>
          <w:tcPr>
            <w:tcW w:w="910" w:type="dxa"/>
          </w:tcPr>
          <w:p w14:paraId="433D58C3" w14:textId="77777777" w:rsidR="00993AFB" w:rsidRPr="007B50DD" w:rsidRDefault="00993AFB" w:rsidP="00203AAF">
            <w:pPr>
              <w:pStyle w:val="ListParagraph"/>
              <w:numPr>
                <w:ilvl w:val="0"/>
                <w:numId w:val="4"/>
              </w:numPr>
              <w:spacing w:line="276" w:lineRule="auto"/>
              <w:rPr>
                <w:rFonts w:cs="Arial"/>
                <w:sz w:val="28"/>
                <w:szCs w:val="28"/>
              </w:rPr>
            </w:pPr>
          </w:p>
        </w:tc>
        <w:tc>
          <w:tcPr>
            <w:tcW w:w="8116" w:type="dxa"/>
          </w:tcPr>
          <w:p w14:paraId="25665024" w14:textId="1DD3A514" w:rsidR="00993AFB" w:rsidRPr="007B50DD" w:rsidRDefault="00993AFB" w:rsidP="00251826">
            <w:pPr>
              <w:spacing w:line="276" w:lineRule="auto"/>
              <w:rPr>
                <w:rFonts w:ascii="Arial" w:hAnsi="Arial" w:cs="Arial"/>
                <w:b/>
                <w:bCs/>
                <w:sz w:val="28"/>
                <w:szCs w:val="28"/>
              </w:rPr>
            </w:pPr>
            <w:r w:rsidRPr="007B50DD">
              <w:rPr>
                <w:rFonts w:ascii="Arial" w:hAnsi="Arial" w:cs="Arial"/>
                <w:b/>
                <w:bCs/>
                <w:sz w:val="28"/>
                <w:szCs w:val="28"/>
              </w:rPr>
              <w:t>Equality and Diversity Impacts</w:t>
            </w:r>
          </w:p>
        </w:tc>
      </w:tr>
      <w:tr w:rsidR="00D0523A" w:rsidRPr="00D0523A" w14:paraId="6CD37779" w14:textId="77777777" w:rsidTr="00AD5D66">
        <w:tc>
          <w:tcPr>
            <w:tcW w:w="910" w:type="dxa"/>
          </w:tcPr>
          <w:p w14:paraId="303CAD95" w14:textId="77777777" w:rsidR="00432BF0" w:rsidRPr="00D0523A" w:rsidRDefault="00432BF0" w:rsidP="002D6C4B">
            <w:pPr>
              <w:pStyle w:val="ListParagraph"/>
              <w:spacing w:line="276" w:lineRule="auto"/>
              <w:ind w:left="360"/>
              <w:rPr>
                <w:rFonts w:cs="Arial"/>
                <w:szCs w:val="24"/>
              </w:rPr>
            </w:pPr>
          </w:p>
        </w:tc>
        <w:tc>
          <w:tcPr>
            <w:tcW w:w="8116" w:type="dxa"/>
          </w:tcPr>
          <w:p w14:paraId="22DBFF07" w14:textId="77777777" w:rsidR="00432BF0" w:rsidRPr="00D0523A" w:rsidRDefault="00432BF0" w:rsidP="00251826">
            <w:pPr>
              <w:spacing w:line="276" w:lineRule="auto"/>
              <w:rPr>
                <w:rFonts w:ascii="Arial" w:hAnsi="Arial" w:cs="Arial"/>
                <w:sz w:val="24"/>
                <w:szCs w:val="24"/>
              </w:rPr>
            </w:pPr>
          </w:p>
        </w:tc>
      </w:tr>
      <w:tr w:rsidR="00D0523A" w:rsidRPr="00D0523A" w14:paraId="634B7103" w14:textId="77777777" w:rsidTr="00AD5D66">
        <w:tc>
          <w:tcPr>
            <w:tcW w:w="910" w:type="dxa"/>
          </w:tcPr>
          <w:p w14:paraId="7385BAAB" w14:textId="77777777" w:rsidR="00993AFB" w:rsidRPr="00D0523A" w:rsidRDefault="00993AFB" w:rsidP="002D6C4B">
            <w:pPr>
              <w:pStyle w:val="ListParagraph"/>
              <w:spacing w:line="276" w:lineRule="auto"/>
              <w:ind w:left="360"/>
              <w:rPr>
                <w:rFonts w:cs="Arial"/>
                <w:szCs w:val="24"/>
              </w:rPr>
            </w:pPr>
          </w:p>
        </w:tc>
        <w:tc>
          <w:tcPr>
            <w:tcW w:w="8116" w:type="dxa"/>
          </w:tcPr>
          <w:p w14:paraId="3C77CA6D" w14:textId="5A9D7C02" w:rsidR="00A83CA1" w:rsidRDefault="00993AFB" w:rsidP="005B4C41">
            <w:pPr>
              <w:pStyle w:val="ListParagraph"/>
              <w:numPr>
                <w:ilvl w:val="0"/>
                <w:numId w:val="10"/>
              </w:numPr>
              <w:spacing w:line="276" w:lineRule="auto"/>
              <w:ind w:left="540" w:hanging="644"/>
              <w:rPr>
                <w:rFonts w:cs="Arial"/>
                <w:szCs w:val="24"/>
              </w:rPr>
            </w:pPr>
            <w:r w:rsidRPr="00A83CA1">
              <w:rPr>
                <w:rFonts w:cs="Arial"/>
                <w:szCs w:val="24"/>
              </w:rPr>
              <w:t xml:space="preserve">An initial screening has been made via </w:t>
            </w:r>
            <w:r w:rsidR="008945F7" w:rsidRPr="00A83CA1">
              <w:rPr>
                <w:rFonts w:cs="Arial"/>
                <w:szCs w:val="24"/>
              </w:rPr>
              <w:t>Hexagon’s equality impact assessment</w:t>
            </w:r>
            <w:r w:rsidRPr="00A83CA1">
              <w:rPr>
                <w:rFonts w:cs="Arial"/>
                <w:szCs w:val="24"/>
              </w:rPr>
              <w:t xml:space="preserve"> and there are no adverse equality impacts</w:t>
            </w:r>
            <w:r w:rsidR="008945F7" w:rsidRPr="00A83CA1">
              <w:rPr>
                <w:rFonts w:cs="Arial"/>
                <w:szCs w:val="24"/>
              </w:rPr>
              <w:t>.</w:t>
            </w:r>
            <w:r w:rsidR="00F301B8" w:rsidRPr="00A83CA1">
              <w:rPr>
                <w:rFonts w:cs="Arial"/>
                <w:szCs w:val="24"/>
              </w:rPr>
              <w:t xml:space="preserve"> </w:t>
            </w:r>
          </w:p>
          <w:p w14:paraId="66AB2C58" w14:textId="77777777" w:rsidR="00A83CA1" w:rsidRDefault="00A83CA1" w:rsidP="005B4C41">
            <w:pPr>
              <w:pStyle w:val="ListParagraph"/>
              <w:spacing w:line="276" w:lineRule="auto"/>
              <w:ind w:left="540" w:hanging="644"/>
              <w:rPr>
                <w:rFonts w:cs="Arial"/>
                <w:szCs w:val="24"/>
              </w:rPr>
            </w:pPr>
          </w:p>
          <w:p w14:paraId="38A66A5E" w14:textId="6FB63763" w:rsidR="00993AFB" w:rsidRPr="00A83CA1" w:rsidRDefault="00F301B8" w:rsidP="005B4C41">
            <w:pPr>
              <w:pStyle w:val="ListParagraph"/>
              <w:numPr>
                <w:ilvl w:val="0"/>
                <w:numId w:val="10"/>
              </w:numPr>
              <w:spacing w:line="276" w:lineRule="auto"/>
              <w:ind w:left="540" w:hanging="644"/>
              <w:rPr>
                <w:rFonts w:cs="Arial"/>
                <w:szCs w:val="24"/>
              </w:rPr>
            </w:pPr>
            <w:r w:rsidRPr="00A83CA1">
              <w:rPr>
                <w:rFonts w:cs="Arial"/>
                <w:szCs w:val="24"/>
              </w:rPr>
              <w:t>This Policy will be implemented in accordance with Hexagon’s responsibilities and duties under relevant legislation, including the Equalities Act 2010.</w:t>
            </w:r>
          </w:p>
        </w:tc>
      </w:tr>
      <w:tr w:rsidR="00D0523A" w:rsidRPr="00D0523A" w14:paraId="2485F65F" w14:textId="77777777" w:rsidTr="00AD5D66">
        <w:tc>
          <w:tcPr>
            <w:tcW w:w="910" w:type="dxa"/>
          </w:tcPr>
          <w:p w14:paraId="792D79EC" w14:textId="77777777" w:rsidR="00432BF0" w:rsidRPr="00D0523A" w:rsidRDefault="00432BF0" w:rsidP="002D6C4B">
            <w:pPr>
              <w:pStyle w:val="ListParagraph"/>
              <w:spacing w:line="276" w:lineRule="auto"/>
              <w:ind w:left="360"/>
              <w:rPr>
                <w:rFonts w:cs="Arial"/>
                <w:szCs w:val="24"/>
              </w:rPr>
            </w:pPr>
          </w:p>
        </w:tc>
        <w:tc>
          <w:tcPr>
            <w:tcW w:w="8116" w:type="dxa"/>
          </w:tcPr>
          <w:p w14:paraId="60AB3E68" w14:textId="77777777" w:rsidR="00432BF0" w:rsidRPr="00D0523A" w:rsidRDefault="00432BF0" w:rsidP="00251826">
            <w:pPr>
              <w:spacing w:line="276" w:lineRule="auto"/>
              <w:rPr>
                <w:rFonts w:ascii="Arial" w:hAnsi="Arial" w:cs="Arial"/>
                <w:sz w:val="24"/>
                <w:szCs w:val="24"/>
              </w:rPr>
            </w:pPr>
          </w:p>
        </w:tc>
      </w:tr>
      <w:tr w:rsidR="00D0523A" w:rsidRPr="007B50DD" w14:paraId="626874F0" w14:textId="77777777" w:rsidTr="00AD5D66">
        <w:tc>
          <w:tcPr>
            <w:tcW w:w="910" w:type="dxa"/>
          </w:tcPr>
          <w:p w14:paraId="64E271F9" w14:textId="77777777" w:rsidR="00993AFB" w:rsidRPr="007B50DD" w:rsidRDefault="00993AFB" w:rsidP="00203AAF">
            <w:pPr>
              <w:pStyle w:val="ListParagraph"/>
              <w:numPr>
                <w:ilvl w:val="0"/>
                <w:numId w:val="4"/>
              </w:numPr>
              <w:spacing w:line="276" w:lineRule="auto"/>
              <w:rPr>
                <w:rFonts w:cs="Arial"/>
                <w:b/>
                <w:bCs/>
                <w:sz w:val="28"/>
                <w:szCs w:val="28"/>
              </w:rPr>
            </w:pPr>
          </w:p>
        </w:tc>
        <w:tc>
          <w:tcPr>
            <w:tcW w:w="8116" w:type="dxa"/>
          </w:tcPr>
          <w:p w14:paraId="0FDA30AC" w14:textId="77777777" w:rsidR="00993AFB" w:rsidRDefault="00993AFB" w:rsidP="00251826">
            <w:pPr>
              <w:spacing w:line="276" w:lineRule="auto"/>
              <w:rPr>
                <w:rFonts w:ascii="Arial" w:hAnsi="Arial" w:cs="Arial"/>
                <w:b/>
                <w:bCs/>
                <w:sz w:val="28"/>
                <w:szCs w:val="28"/>
              </w:rPr>
            </w:pPr>
            <w:r w:rsidRPr="007B50DD">
              <w:rPr>
                <w:rFonts w:ascii="Arial" w:hAnsi="Arial" w:cs="Arial"/>
                <w:b/>
                <w:bCs/>
                <w:sz w:val="28"/>
                <w:szCs w:val="28"/>
              </w:rPr>
              <w:t>Consultation</w:t>
            </w:r>
          </w:p>
          <w:p w14:paraId="603B6A43" w14:textId="336048EB" w:rsidR="009C2CFB" w:rsidRPr="007B50DD" w:rsidRDefault="009C2CFB" w:rsidP="00251826">
            <w:pPr>
              <w:spacing w:line="276" w:lineRule="auto"/>
              <w:rPr>
                <w:rFonts w:ascii="Arial" w:hAnsi="Arial" w:cs="Arial"/>
                <w:b/>
                <w:bCs/>
                <w:sz w:val="28"/>
                <w:szCs w:val="28"/>
              </w:rPr>
            </w:pPr>
          </w:p>
        </w:tc>
      </w:tr>
      <w:tr w:rsidR="00D0523A" w:rsidRPr="008D65AA" w14:paraId="69C07F04" w14:textId="77777777" w:rsidTr="00AD5D66">
        <w:tc>
          <w:tcPr>
            <w:tcW w:w="910" w:type="dxa"/>
          </w:tcPr>
          <w:p w14:paraId="1157027A" w14:textId="77777777" w:rsidR="00432BF0" w:rsidRPr="008D65AA" w:rsidRDefault="00432BF0" w:rsidP="002D6C4B">
            <w:pPr>
              <w:pStyle w:val="ListParagraph"/>
              <w:spacing w:line="276" w:lineRule="auto"/>
              <w:ind w:left="360"/>
              <w:rPr>
                <w:rFonts w:cs="Arial"/>
                <w:szCs w:val="24"/>
              </w:rPr>
            </w:pPr>
          </w:p>
        </w:tc>
        <w:tc>
          <w:tcPr>
            <w:tcW w:w="8116" w:type="dxa"/>
          </w:tcPr>
          <w:p w14:paraId="14BFA62D" w14:textId="77777777" w:rsidR="00F365BC" w:rsidRDefault="00F365BC" w:rsidP="00F365BC">
            <w:pPr>
              <w:pStyle w:val="ListParagraph"/>
              <w:tabs>
                <w:tab w:val="left" w:pos="2400"/>
              </w:tabs>
              <w:ind w:left="567"/>
              <w:rPr>
                <w:rFonts w:cs="Arial"/>
                <w:bCs/>
                <w:szCs w:val="24"/>
              </w:rPr>
            </w:pPr>
            <w:r>
              <w:rPr>
                <w:rFonts w:cs="Arial"/>
                <w:bCs/>
                <w:szCs w:val="24"/>
              </w:rPr>
              <w:t>This policy has not been consulted on as it was not selected by Hexagon’s Resident Advisory Group (RAG).</w:t>
            </w:r>
          </w:p>
          <w:p w14:paraId="5206CBAD" w14:textId="66DBAE6E" w:rsidR="00432BF0" w:rsidRPr="008D65AA" w:rsidRDefault="00432BF0" w:rsidP="00251826">
            <w:pPr>
              <w:spacing w:line="276" w:lineRule="auto"/>
              <w:rPr>
                <w:rFonts w:ascii="Arial" w:hAnsi="Arial" w:cs="Arial"/>
                <w:sz w:val="24"/>
                <w:szCs w:val="24"/>
              </w:rPr>
            </w:pPr>
          </w:p>
        </w:tc>
      </w:tr>
      <w:tr w:rsidR="00432BF0" w:rsidRPr="009E2856" w14:paraId="1FD466A2" w14:textId="77777777" w:rsidTr="00AD5D66">
        <w:tc>
          <w:tcPr>
            <w:tcW w:w="910" w:type="dxa"/>
          </w:tcPr>
          <w:p w14:paraId="6EC4EE3C" w14:textId="77777777" w:rsidR="00432BF0" w:rsidRPr="002D6C4B" w:rsidRDefault="00432BF0" w:rsidP="002D6C4B">
            <w:pPr>
              <w:pStyle w:val="ListParagraph"/>
              <w:spacing w:line="276" w:lineRule="auto"/>
              <w:ind w:left="360"/>
              <w:rPr>
                <w:rFonts w:cs="Arial"/>
                <w:color w:val="FF0000"/>
                <w:szCs w:val="24"/>
              </w:rPr>
            </w:pPr>
          </w:p>
        </w:tc>
        <w:tc>
          <w:tcPr>
            <w:tcW w:w="8116" w:type="dxa"/>
          </w:tcPr>
          <w:p w14:paraId="13F457AE" w14:textId="77777777" w:rsidR="00432BF0" w:rsidRPr="009E2856" w:rsidRDefault="00432BF0" w:rsidP="00251826">
            <w:pPr>
              <w:spacing w:line="276" w:lineRule="auto"/>
              <w:rPr>
                <w:rFonts w:ascii="Arial" w:hAnsi="Arial" w:cs="Arial"/>
                <w:color w:val="FF0000"/>
                <w:sz w:val="24"/>
                <w:szCs w:val="24"/>
              </w:rPr>
            </w:pPr>
          </w:p>
        </w:tc>
      </w:tr>
      <w:tr w:rsidR="00993AFB" w:rsidRPr="007B50DD" w14:paraId="3F31F7F2" w14:textId="77777777" w:rsidTr="00AD5D66">
        <w:tc>
          <w:tcPr>
            <w:tcW w:w="910" w:type="dxa"/>
          </w:tcPr>
          <w:p w14:paraId="0FE9B6A7" w14:textId="77777777" w:rsidR="00993AFB" w:rsidRPr="007B50DD" w:rsidRDefault="00993AFB" w:rsidP="00203AAF">
            <w:pPr>
              <w:pStyle w:val="ListParagraph"/>
              <w:numPr>
                <w:ilvl w:val="0"/>
                <w:numId w:val="4"/>
              </w:numPr>
              <w:spacing w:line="276" w:lineRule="auto"/>
              <w:rPr>
                <w:rFonts w:cs="Arial"/>
                <w:b/>
                <w:bCs/>
                <w:sz w:val="28"/>
                <w:szCs w:val="28"/>
              </w:rPr>
            </w:pPr>
          </w:p>
        </w:tc>
        <w:tc>
          <w:tcPr>
            <w:tcW w:w="8116" w:type="dxa"/>
          </w:tcPr>
          <w:p w14:paraId="419F62C7" w14:textId="2EFF4546" w:rsidR="00993AFB" w:rsidRDefault="00993AFB" w:rsidP="00251826">
            <w:pPr>
              <w:spacing w:line="276" w:lineRule="auto"/>
              <w:rPr>
                <w:rFonts w:ascii="Arial" w:hAnsi="Arial" w:cs="Arial"/>
                <w:b/>
                <w:bCs/>
                <w:sz w:val="28"/>
                <w:szCs w:val="28"/>
              </w:rPr>
            </w:pPr>
            <w:r w:rsidRPr="007B50DD">
              <w:rPr>
                <w:rFonts w:ascii="Arial" w:hAnsi="Arial" w:cs="Arial"/>
                <w:b/>
                <w:bCs/>
                <w:sz w:val="28"/>
                <w:szCs w:val="28"/>
              </w:rPr>
              <w:t>Policy Statement</w:t>
            </w:r>
          </w:p>
          <w:p w14:paraId="3BAEE272" w14:textId="4A9BCF69" w:rsidR="007C0443" w:rsidRPr="007B50DD" w:rsidRDefault="007C0443" w:rsidP="00251826">
            <w:pPr>
              <w:spacing w:line="276" w:lineRule="auto"/>
              <w:rPr>
                <w:rFonts w:ascii="Arial" w:hAnsi="Arial" w:cs="Arial"/>
                <w:b/>
                <w:bCs/>
                <w:sz w:val="28"/>
                <w:szCs w:val="28"/>
              </w:rPr>
            </w:pPr>
          </w:p>
        </w:tc>
      </w:tr>
      <w:tr w:rsidR="00993AFB" w:rsidRPr="009E2856" w14:paraId="0FE8412B" w14:textId="77777777" w:rsidTr="00AD5D66">
        <w:tc>
          <w:tcPr>
            <w:tcW w:w="910" w:type="dxa"/>
          </w:tcPr>
          <w:p w14:paraId="6374E9CE" w14:textId="77777777" w:rsidR="00993AFB" w:rsidRPr="002D6C4B" w:rsidRDefault="00993AFB" w:rsidP="002D6C4B">
            <w:pPr>
              <w:pStyle w:val="ListParagraph"/>
              <w:spacing w:line="276" w:lineRule="auto"/>
              <w:ind w:left="360"/>
              <w:rPr>
                <w:rFonts w:cs="Arial"/>
                <w:szCs w:val="24"/>
              </w:rPr>
            </w:pPr>
          </w:p>
        </w:tc>
        <w:tc>
          <w:tcPr>
            <w:tcW w:w="8116" w:type="dxa"/>
          </w:tcPr>
          <w:p w14:paraId="48839EAC" w14:textId="0ADD6285" w:rsidR="00422465" w:rsidRDefault="00422465" w:rsidP="005B4C41">
            <w:pPr>
              <w:pStyle w:val="ListParagraph"/>
              <w:numPr>
                <w:ilvl w:val="1"/>
                <w:numId w:val="6"/>
              </w:numPr>
              <w:spacing w:line="276" w:lineRule="auto"/>
              <w:ind w:left="540" w:hanging="540"/>
            </w:pPr>
            <w:r w:rsidRPr="00422465">
              <w:rPr>
                <w:rFonts w:cs="Arial"/>
                <w:szCs w:val="24"/>
              </w:rPr>
              <w:t>Granting or changing a tenancy is an area</w:t>
            </w:r>
            <w:r>
              <w:t xml:space="preserve"> is an area that has great potential for fraud. Hexagon will ensure that documents are verified thoroughly and a credit check is carried out. </w:t>
            </w:r>
          </w:p>
          <w:p w14:paraId="6897CF13" w14:textId="77777777" w:rsidR="007B50DD" w:rsidRDefault="007B50DD" w:rsidP="007B50DD">
            <w:pPr>
              <w:pStyle w:val="ListParagraph"/>
              <w:spacing w:line="276" w:lineRule="auto"/>
              <w:ind w:left="398"/>
            </w:pPr>
          </w:p>
          <w:p w14:paraId="5798554C" w14:textId="368AB294" w:rsidR="007B50DD" w:rsidRPr="007B50DD" w:rsidRDefault="007B50DD" w:rsidP="00203AAF">
            <w:pPr>
              <w:pStyle w:val="ListParagraph"/>
              <w:numPr>
                <w:ilvl w:val="1"/>
                <w:numId w:val="6"/>
              </w:numPr>
              <w:spacing w:line="276" w:lineRule="auto"/>
              <w:ind w:left="540" w:hanging="540"/>
              <w:rPr>
                <w:rFonts w:cs="Arial"/>
                <w:szCs w:val="24"/>
              </w:rPr>
            </w:pPr>
            <w:r>
              <w:t xml:space="preserve">Hexagon will usually offer joint tenancies </w:t>
            </w:r>
            <w:r w:rsidR="00F635EB">
              <w:t>where it is the intention for both parties to occupy the property as their only or principal home</w:t>
            </w:r>
            <w:r>
              <w:t>:</w:t>
            </w:r>
          </w:p>
          <w:p w14:paraId="6A32F22E" w14:textId="77777777" w:rsidR="007B50DD" w:rsidRPr="007B50DD" w:rsidRDefault="007B50DD" w:rsidP="004B7796">
            <w:pPr>
              <w:pStyle w:val="ListParagraph"/>
              <w:numPr>
                <w:ilvl w:val="0"/>
                <w:numId w:val="9"/>
              </w:numPr>
              <w:spacing w:line="276" w:lineRule="auto"/>
              <w:ind w:left="965"/>
              <w:rPr>
                <w:rFonts w:cs="Arial"/>
                <w:szCs w:val="24"/>
              </w:rPr>
            </w:pPr>
            <w:r>
              <w:t>Couples with a legal relationship – marriage or civil partnership</w:t>
            </w:r>
          </w:p>
          <w:p w14:paraId="156BADE0" w14:textId="77777777" w:rsidR="007B50DD" w:rsidRPr="007B50DD" w:rsidRDefault="007B50DD" w:rsidP="004B7796">
            <w:pPr>
              <w:pStyle w:val="ListParagraph"/>
              <w:numPr>
                <w:ilvl w:val="0"/>
                <w:numId w:val="9"/>
              </w:numPr>
              <w:spacing w:line="276" w:lineRule="auto"/>
              <w:ind w:left="965"/>
              <w:rPr>
                <w:rFonts w:cs="Arial"/>
                <w:szCs w:val="24"/>
              </w:rPr>
            </w:pPr>
            <w:r>
              <w:t xml:space="preserve">Couples nominated or referred jointly to the association </w:t>
            </w:r>
          </w:p>
          <w:p w14:paraId="36C4B9A1" w14:textId="37AAD021" w:rsidR="00203AAF" w:rsidRPr="00203AAF" w:rsidRDefault="007B50DD" w:rsidP="004B7796">
            <w:pPr>
              <w:pStyle w:val="ListParagraph"/>
              <w:numPr>
                <w:ilvl w:val="0"/>
                <w:numId w:val="9"/>
              </w:numPr>
              <w:spacing w:line="276" w:lineRule="auto"/>
              <w:ind w:left="965"/>
              <w:rPr>
                <w:rFonts w:cs="Arial"/>
                <w:szCs w:val="24"/>
              </w:rPr>
            </w:pPr>
            <w:r>
              <w:t>Other established couples who can show that they have been living together for a period of at least one yea</w:t>
            </w:r>
            <w:r w:rsidR="00203AAF">
              <w:t>r</w:t>
            </w:r>
            <w:r>
              <w:t>.</w:t>
            </w:r>
          </w:p>
          <w:p w14:paraId="7B01D228" w14:textId="5284412A" w:rsidR="00203AAF" w:rsidRPr="00203AAF" w:rsidRDefault="00203AAF" w:rsidP="00203AAF">
            <w:pPr>
              <w:pStyle w:val="ListParagraph"/>
              <w:spacing w:line="276" w:lineRule="auto"/>
              <w:ind w:left="360"/>
              <w:rPr>
                <w:rFonts w:cs="Arial"/>
                <w:szCs w:val="24"/>
              </w:rPr>
            </w:pPr>
          </w:p>
        </w:tc>
      </w:tr>
      <w:tr w:rsidR="009E2856" w:rsidRPr="009E2856" w14:paraId="5C0B181F" w14:textId="77777777" w:rsidTr="0017469F">
        <w:trPr>
          <w:trHeight w:val="167"/>
        </w:trPr>
        <w:tc>
          <w:tcPr>
            <w:tcW w:w="910" w:type="dxa"/>
          </w:tcPr>
          <w:p w14:paraId="72999E20" w14:textId="77BB4281" w:rsidR="009E2856" w:rsidRPr="00203AAF" w:rsidRDefault="009E2856" w:rsidP="00203AAF">
            <w:pPr>
              <w:pStyle w:val="ListParagraph"/>
              <w:numPr>
                <w:ilvl w:val="0"/>
                <w:numId w:val="11"/>
              </w:numPr>
              <w:spacing w:line="276" w:lineRule="auto"/>
              <w:rPr>
                <w:rFonts w:cs="Arial"/>
                <w:szCs w:val="24"/>
              </w:rPr>
            </w:pPr>
          </w:p>
        </w:tc>
        <w:tc>
          <w:tcPr>
            <w:tcW w:w="8116" w:type="dxa"/>
          </w:tcPr>
          <w:p w14:paraId="0A543893" w14:textId="2D593A61" w:rsidR="009E2856" w:rsidRPr="00203AAF" w:rsidRDefault="00203AAF" w:rsidP="008D65AA">
            <w:pPr>
              <w:spacing w:line="276" w:lineRule="auto"/>
              <w:ind w:left="398" w:hanging="398"/>
              <w:rPr>
                <w:rFonts w:ascii="Arial" w:hAnsi="Arial" w:cs="Arial"/>
                <w:b/>
                <w:bCs/>
                <w:sz w:val="28"/>
                <w:szCs w:val="28"/>
              </w:rPr>
            </w:pPr>
            <w:r w:rsidRPr="00203AAF">
              <w:rPr>
                <w:rFonts w:ascii="Arial" w:hAnsi="Arial" w:cs="Arial"/>
                <w:b/>
                <w:bCs/>
                <w:sz w:val="28"/>
                <w:szCs w:val="28"/>
              </w:rPr>
              <w:t xml:space="preserve">Granting of the </w:t>
            </w:r>
            <w:r w:rsidR="008231A0">
              <w:rPr>
                <w:rFonts w:ascii="Arial" w:hAnsi="Arial" w:cs="Arial"/>
                <w:b/>
                <w:bCs/>
                <w:sz w:val="28"/>
                <w:szCs w:val="28"/>
              </w:rPr>
              <w:t>I</w:t>
            </w:r>
            <w:r w:rsidRPr="00203AAF">
              <w:rPr>
                <w:rFonts w:ascii="Arial" w:hAnsi="Arial" w:cs="Arial"/>
                <w:b/>
                <w:bCs/>
                <w:sz w:val="28"/>
                <w:szCs w:val="28"/>
              </w:rPr>
              <w:t xml:space="preserve">nitial </w:t>
            </w:r>
            <w:r w:rsidR="008231A0">
              <w:rPr>
                <w:rFonts w:ascii="Arial" w:hAnsi="Arial" w:cs="Arial"/>
                <w:b/>
                <w:bCs/>
                <w:sz w:val="28"/>
                <w:szCs w:val="28"/>
              </w:rPr>
              <w:t>T</w:t>
            </w:r>
            <w:r w:rsidRPr="00203AAF">
              <w:rPr>
                <w:rFonts w:ascii="Arial" w:hAnsi="Arial" w:cs="Arial"/>
                <w:b/>
                <w:bCs/>
                <w:sz w:val="28"/>
                <w:szCs w:val="28"/>
              </w:rPr>
              <w:t>enancy</w:t>
            </w:r>
          </w:p>
        </w:tc>
      </w:tr>
      <w:tr w:rsidR="00993AFB" w:rsidRPr="009E2856" w14:paraId="3F6A6D45" w14:textId="77777777" w:rsidTr="00AD5D66">
        <w:tc>
          <w:tcPr>
            <w:tcW w:w="910" w:type="dxa"/>
          </w:tcPr>
          <w:p w14:paraId="362B3BE2" w14:textId="77777777" w:rsidR="00993AFB" w:rsidRPr="009E2856" w:rsidRDefault="00993AFB" w:rsidP="00251826">
            <w:pPr>
              <w:spacing w:line="276" w:lineRule="auto"/>
              <w:rPr>
                <w:rFonts w:ascii="Arial" w:hAnsi="Arial" w:cs="Arial"/>
                <w:sz w:val="24"/>
                <w:szCs w:val="24"/>
              </w:rPr>
            </w:pPr>
          </w:p>
        </w:tc>
        <w:tc>
          <w:tcPr>
            <w:tcW w:w="8116" w:type="dxa"/>
          </w:tcPr>
          <w:p w14:paraId="37C74A00" w14:textId="77777777" w:rsidR="00FA0A57" w:rsidRPr="00FA0A57" w:rsidRDefault="00FA0A57" w:rsidP="00FA0A57">
            <w:pPr>
              <w:pStyle w:val="ListParagraph"/>
              <w:spacing w:line="276" w:lineRule="auto"/>
              <w:ind w:left="360"/>
              <w:rPr>
                <w:rFonts w:cs="Arial"/>
                <w:szCs w:val="24"/>
              </w:rPr>
            </w:pPr>
          </w:p>
          <w:p w14:paraId="216B7BEB" w14:textId="273F059E" w:rsidR="00CA5FEA" w:rsidRPr="008043D4" w:rsidRDefault="008231A0" w:rsidP="005B4C41">
            <w:pPr>
              <w:pStyle w:val="ListParagraph"/>
              <w:numPr>
                <w:ilvl w:val="1"/>
                <w:numId w:val="11"/>
              </w:numPr>
              <w:spacing w:line="276" w:lineRule="auto"/>
              <w:ind w:left="681" w:hanging="681"/>
              <w:rPr>
                <w:rFonts w:cs="Arial"/>
                <w:szCs w:val="24"/>
              </w:rPr>
            </w:pPr>
            <w:r>
              <w:t>If only one of a couple has been nominated or referred, then a sole tenancy will be granted. If a couple has been nominated, then the tenancy will be granted in joint names as long as they both fulfil the requirements in 4.2.</w:t>
            </w:r>
          </w:p>
          <w:p w14:paraId="5C18D32E" w14:textId="131B8289" w:rsidR="008043D4" w:rsidRPr="008231A0" w:rsidRDefault="008043D4" w:rsidP="00FE1E48">
            <w:pPr>
              <w:pStyle w:val="ListParagraph"/>
              <w:spacing w:line="276" w:lineRule="auto"/>
              <w:ind w:left="360"/>
              <w:rPr>
                <w:rFonts w:cs="Arial"/>
                <w:szCs w:val="24"/>
              </w:rPr>
            </w:pPr>
          </w:p>
        </w:tc>
      </w:tr>
      <w:tr w:rsidR="00993AFB" w:rsidRPr="009E2856" w14:paraId="10DEFC53" w14:textId="77777777" w:rsidTr="00AD5D66">
        <w:tc>
          <w:tcPr>
            <w:tcW w:w="910" w:type="dxa"/>
          </w:tcPr>
          <w:p w14:paraId="5DEB6A3A" w14:textId="77777777" w:rsidR="00993AFB" w:rsidRPr="008231A0" w:rsidRDefault="00993AFB" w:rsidP="008231A0">
            <w:pPr>
              <w:pStyle w:val="ListParagraph"/>
              <w:numPr>
                <w:ilvl w:val="0"/>
                <w:numId w:val="11"/>
              </w:numPr>
              <w:spacing w:line="276" w:lineRule="auto"/>
              <w:rPr>
                <w:rFonts w:cs="Arial"/>
                <w:szCs w:val="24"/>
              </w:rPr>
            </w:pPr>
          </w:p>
        </w:tc>
        <w:tc>
          <w:tcPr>
            <w:tcW w:w="8116" w:type="dxa"/>
          </w:tcPr>
          <w:p w14:paraId="70EEB692" w14:textId="7CB228E3" w:rsidR="00993AFB" w:rsidRPr="008231A0" w:rsidRDefault="008043D4" w:rsidP="00CA5FEA">
            <w:pPr>
              <w:spacing w:line="276" w:lineRule="auto"/>
              <w:rPr>
                <w:rFonts w:ascii="Arial" w:hAnsi="Arial" w:cs="Arial"/>
                <w:b/>
                <w:bCs/>
                <w:sz w:val="28"/>
                <w:szCs w:val="28"/>
              </w:rPr>
            </w:pPr>
            <w:r>
              <w:rPr>
                <w:rFonts w:ascii="Arial" w:hAnsi="Arial" w:cs="Arial"/>
                <w:b/>
                <w:bCs/>
                <w:sz w:val="28"/>
                <w:szCs w:val="28"/>
              </w:rPr>
              <w:t>Death of a joint resident</w:t>
            </w:r>
          </w:p>
        </w:tc>
      </w:tr>
      <w:tr w:rsidR="00F44D10" w:rsidRPr="009E2856" w14:paraId="66D8B9B1" w14:textId="77777777" w:rsidTr="00AD5D66">
        <w:tc>
          <w:tcPr>
            <w:tcW w:w="910" w:type="dxa"/>
          </w:tcPr>
          <w:p w14:paraId="11ACCD34" w14:textId="77777777" w:rsidR="00F44D10" w:rsidRPr="009E2856" w:rsidRDefault="00F44D10" w:rsidP="00251826">
            <w:pPr>
              <w:spacing w:line="276" w:lineRule="auto"/>
              <w:rPr>
                <w:rFonts w:ascii="Arial" w:hAnsi="Arial" w:cs="Arial"/>
                <w:sz w:val="24"/>
                <w:szCs w:val="24"/>
              </w:rPr>
            </w:pPr>
          </w:p>
        </w:tc>
        <w:tc>
          <w:tcPr>
            <w:tcW w:w="8116" w:type="dxa"/>
          </w:tcPr>
          <w:p w14:paraId="1A1982AE" w14:textId="77777777" w:rsidR="008231A0" w:rsidRPr="00CA5FEA" w:rsidRDefault="008231A0" w:rsidP="008231A0">
            <w:pPr>
              <w:pStyle w:val="ListParagraph"/>
              <w:spacing w:line="276" w:lineRule="auto"/>
              <w:ind w:left="360"/>
              <w:rPr>
                <w:rFonts w:cs="Arial"/>
                <w:szCs w:val="24"/>
              </w:rPr>
            </w:pPr>
          </w:p>
          <w:p w14:paraId="5FB71AE9" w14:textId="06349990" w:rsidR="008231A0" w:rsidRDefault="008231A0" w:rsidP="005B4C41">
            <w:pPr>
              <w:pStyle w:val="ListParagraph"/>
              <w:numPr>
                <w:ilvl w:val="1"/>
                <w:numId w:val="11"/>
              </w:numPr>
              <w:spacing w:line="276" w:lineRule="auto"/>
              <w:ind w:left="681" w:hanging="681"/>
              <w:rPr>
                <w:rFonts w:cs="Arial"/>
                <w:szCs w:val="24"/>
              </w:rPr>
            </w:pPr>
            <w:r w:rsidRPr="00CA5FEA">
              <w:rPr>
                <w:rFonts w:cs="Arial"/>
                <w:szCs w:val="24"/>
              </w:rPr>
              <w:t>On the death of a joint resident, the tenancy automatically continues for the surviving joint resident provided they occupied the premises as their only or principal home at the time of the death.</w:t>
            </w:r>
            <w:r>
              <w:rPr>
                <w:rFonts w:cs="Arial"/>
                <w:szCs w:val="24"/>
              </w:rPr>
              <w:t xml:space="preserve"> </w:t>
            </w:r>
          </w:p>
          <w:p w14:paraId="2AF3D11A" w14:textId="77777777" w:rsidR="008043D4" w:rsidRDefault="008043D4" w:rsidP="005B4C41">
            <w:pPr>
              <w:pStyle w:val="ListParagraph"/>
              <w:spacing w:line="276" w:lineRule="auto"/>
              <w:ind w:left="681" w:hanging="681"/>
              <w:rPr>
                <w:rFonts w:cs="Arial"/>
                <w:szCs w:val="24"/>
              </w:rPr>
            </w:pPr>
          </w:p>
          <w:p w14:paraId="4FF2385B" w14:textId="4B8BE3DF" w:rsidR="008043D4" w:rsidRDefault="008043D4" w:rsidP="005B4C41">
            <w:pPr>
              <w:pStyle w:val="ListParagraph"/>
              <w:numPr>
                <w:ilvl w:val="1"/>
                <w:numId w:val="11"/>
              </w:numPr>
              <w:spacing w:line="276" w:lineRule="auto"/>
              <w:ind w:left="681" w:hanging="681"/>
              <w:rPr>
                <w:rFonts w:cs="Arial"/>
                <w:szCs w:val="24"/>
              </w:rPr>
            </w:pPr>
            <w:r>
              <w:rPr>
                <w:rFonts w:cs="Arial"/>
                <w:szCs w:val="24"/>
              </w:rPr>
              <w:t>Please see the Hexagon Succession Policy</w:t>
            </w:r>
            <w:r w:rsidR="00FE1E48">
              <w:rPr>
                <w:rFonts w:cs="Arial"/>
                <w:szCs w:val="24"/>
              </w:rPr>
              <w:t xml:space="preserve"> </w:t>
            </w:r>
          </w:p>
          <w:p w14:paraId="2D490F32" w14:textId="136C2B72" w:rsidR="00586BBD" w:rsidRDefault="00586BBD" w:rsidP="008043D4">
            <w:pPr>
              <w:spacing w:line="276" w:lineRule="auto"/>
              <w:ind w:left="540" w:hanging="540"/>
              <w:rPr>
                <w:rFonts w:ascii="Arial" w:hAnsi="Arial" w:cs="Arial"/>
                <w:sz w:val="24"/>
                <w:szCs w:val="24"/>
              </w:rPr>
            </w:pPr>
          </w:p>
        </w:tc>
      </w:tr>
      <w:tr w:rsidR="00993AFB" w:rsidRPr="008043D4" w14:paraId="0FE398D2" w14:textId="77777777" w:rsidTr="00AD5D66">
        <w:tc>
          <w:tcPr>
            <w:tcW w:w="910" w:type="dxa"/>
          </w:tcPr>
          <w:p w14:paraId="47B93FBF" w14:textId="2F0A0B07" w:rsidR="00993AFB" w:rsidRPr="00FE1E48" w:rsidRDefault="00993AFB" w:rsidP="00FE1E48">
            <w:pPr>
              <w:pStyle w:val="ListParagraph"/>
              <w:numPr>
                <w:ilvl w:val="0"/>
                <w:numId w:val="11"/>
              </w:numPr>
              <w:spacing w:line="276" w:lineRule="auto"/>
              <w:rPr>
                <w:rFonts w:cs="Arial"/>
                <w:b/>
                <w:bCs/>
                <w:sz w:val="28"/>
                <w:szCs w:val="28"/>
              </w:rPr>
            </w:pPr>
          </w:p>
        </w:tc>
        <w:tc>
          <w:tcPr>
            <w:tcW w:w="8116" w:type="dxa"/>
          </w:tcPr>
          <w:p w14:paraId="5582A43D" w14:textId="3633E42A" w:rsidR="00993AFB" w:rsidRPr="008043D4" w:rsidRDefault="009E2856" w:rsidP="00471D6D">
            <w:pPr>
              <w:spacing w:line="276" w:lineRule="auto"/>
              <w:ind w:left="747" w:hanging="747"/>
              <w:rPr>
                <w:rFonts w:ascii="Arial" w:hAnsi="Arial" w:cs="Arial"/>
                <w:b/>
                <w:bCs/>
                <w:sz w:val="28"/>
                <w:szCs w:val="28"/>
              </w:rPr>
            </w:pPr>
            <w:r w:rsidRPr="008043D4">
              <w:rPr>
                <w:rFonts w:ascii="Arial" w:hAnsi="Arial" w:cs="Arial"/>
                <w:b/>
                <w:bCs/>
                <w:sz w:val="28"/>
                <w:szCs w:val="28"/>
              </w:rPr>
              <w:t xml:space="preserve"> </w:t>
            </w:r>
            <w:r w:rsidR="00471D6D" w:rsidRPr="008043D4">
              <w:rPr>
                <w:rFonts w:ascii="Arial" w:hAnsi="Arial" w:cs="Arial"/>
                <w:b/>
                <w:bCs/>
                <w:sz w:val="28"/>
                <w:szCs w:val="28"/>
              </w:rPr>
              <w:t xml:space="preserve">   </w:t>
            </w:r>
            <w:r w:rsidR="008043D4" w:rsidRPr="008043D4">
              <w:rPr>
                <w:rFonts w:ascii="Arial" w:hAnsi="Arial" w:cs="Arial"/>
                <w:b/>
                <w:bCs/>
                <w:sz w:val="28"/>
                <w:szCs w:val="28"/>
              </w:rPr>
              <w:t>Request to change a tenancy</w:t>
            </w:r>
          </w:p>
        </w:tc>
      </w:tr>
      <w:tr w:rsidR="00993AFB" w:rsidRPr="009E2856" w14:paraId="7353D2EC" w14:textId="77777777" w:rsidTr="00AD5D66">
        <w:tc>
          <w:tcPr>
            <w:tcW w:w="910" w:type="dxa"/>
          </w:tcPr>
          <w:p w14:paraId="33A50AAD" w14:textId="77777777" w:rsidR="00993AFB" w:rsidRPr="009E2856" w:rsidRDefault="00993AFB" w:rsidP="00251826">
            <w:pPr>
              <w:spacing w:line="276" w:lineRule="auto"/>
              <w:rPr>
                <w:rFonts w:ascii="Arial" w:hAnsi="Arial" w:cs="Arial"/>
                <w:sz w:val="24"/>
                <w:szCs w:val="24"/>
              </w:rPr>
            </w:pPr>
          </w:p>
        </w:tc>
        <w:tc>
          <w:tcPr>
            <w:tcW w:w="8116" w:type="dxa"/>
          </w:tcPr>
          <w:p w14:paraId="2FA3685C" w14:textId="77777777" w:rsidR="00FA0A57" w:rsidRDefault="00FA0A57" w:rsidP="00FA0A57">
            <w:pPr>
              <w:pStyle w:val="ListParagraph"/>
              <w:spacing w:line="276" w:lineRule="auto"/>
              <w:ind w:left="360"/>
              <w:rPr>
                <w:rFonts w:cs="Arial"/>
                <w:szCs w:val="24"/>
              </w:rPr>
            </w:pPr>
          </w:p>
          <w:p w14:paraId="5042745B" w14:textId="6F477003" w:rsidR="00F96E10" w:rsidRDefault="00F96E10" w:rsidP="005B4C41">
            <w:pPr>
              <w:pStyle w:val="ListParagraph"/>
              <w:numPr>
                <w:ilvl w:val="1"/>
                <w:numId w:val="11"/>
              </w:numPr>
              <w:spacing w:line="276" w:lineRule="auto"/>
              <w:ind w:left="681" w:hanging="681"/>
              <w:rPr>
                <w:rFonts w:cs="Arial"/>
                <w:b/>
                <w:bCs/>
                <w:szCs w:val="24"/>
              </w:rPr>
            </w:pPr>
            <w:r w:rsidRPr="00F96E10">
              <w:rPr>
                <w:rFonts w:cs="Arial"/>
                <w:b/>
                <w:bCs/>
                <w:szCs w:val="24"/>
              </w:rPr>
              <w:t>Joint to sole tenancy</w:t>
            </w:r>
          </w:p>
          <w:p w14:paraId="22A11DC0" w14:textId="77777777" w:rsidR="00F96E10" w:rsidRPr="00F96E10" w:rsidRDefault="00F96E10" w:rsidP="005B4C41">
            <w:pPr>
              <w:pStyle w:val="ListParagraph"/>
              <w:spacing w:line="276" w:lineRule="auto"/>
              <w:ind w:left="681" w:hanging="681"/>
              <w:rPr>
                <w:rFonts w:cs="Arial"/>
                <w:b/>
                <w:bCs/>
                <w:szCs w:val="24"/>
              </w:rPr>
            </w:pPr>
          </w:p>
          <w:p w14:paraId="335DDF59" w14:textId="77777777" w:rsidR="00F96E10" w:rsidRPr="00F96E10" w:rsidRDefault="00F96E10" w:rsidP="005B4C41">
            <w:pPr>
              <w:pStyle w:val="ListParagraph"/>
              <w:numPr>
                <w:ilvl w:val="1"/>
                <w:numId w:val="11"/>
              </w:numPr>
              <w:spacing w:line="276" w:lineRule="auto"/>
              <w:ind w:left="681" w:hanging="681"/>
              <w:rPr>
                <w:rFonts w:cs="Arial"/>
                <w:szCs w:val="24"/>
              </w:rPr>
            </w:pPr>
            <w:r>
              <w:t xml:space="preserve">Hexagon cannot amend a tenancy simply because one of the joint residents is no longer living at the home. The tenancy continues as long as one joint resident continues to occupy the property as their only or principal home and the non-occupation of one party does not affect the rights and responsibilities of both joint residents. </w:t>
            </w:r>
          </w:p>
          <w:p w14:paraId="334E3665" w14:textId="77777777" w:rsidR="00F96E10" w:rsidRDefault="00F96E10" w:rsidP="005B4C41">
            <w:pPr>
              <w:pStyle w:val="ListParagraph"/>
              <w:ind w:left="681" w:hanging="681"/>
            </w:pPr>
          </w:p>
          <w:p w14:paraId="5182B434" w14:textId="14E1AB9C" w:rsidR="00F96E10" w:rsidRPr="00F96E10" w:rsidRDefault="00F96E10" w:rsidP="005B4C41">
            <w:pPr>
              <w:pStyle w:val="ListParagraph"/>
              <w:numPr>
                <w:ilvl w:val="1"/>
                <w:numId w:val="11"/>
              </w:numPr>
              <w:spacing w:line="276" w:lineRule="auto"/>
              <w:ind w:left="681" w:hanging="681"/>
              <w:rPr>
                <w:rFonts w:cs="Arial"/>
                <w:szCs w:val="24"/>
              </w:rPr>
            </w:pPr>
            <w:r>
              <w:t xml:space="preserve">Hexagon will notify all joint residents if a request for assignment is being refused and the reason(s) why. There will need to be good reason not to notify all joint residents, for example where this would put a joint residents or other household member at risk. </w:t>
            </w:r>
          </w:p>
          <w:p w14:paraId="674C2DB5" w14:textId="77777777" w:rsidR="00F96E10" w:rsidRPr="00F96E10" w:rsidRDefault="00F96E10" w:rsidP="00F96E10">
            <w:pPr>
              <w:pStyle w:val="ListParagraph"/>
              <w:rPr>
                <w:rFonts w:cs="Arial"/>
                <w:szCs w:val="24"/>
              </w:rPr>
            </w:pPr>
          </w:p>
          <w:p w14:paraId="0B1686BA" w14:textId="77777777" w:rsidR="00F96E10" w:rsidRPr="00AF5E75" w:rsidRDefault="00F96E10" w:rsidP="005B4C41">
            <w:pPr>
              <w:pStyle w:val="ListParagraph"/>
              <w:numPr>
                <w:ilvl w:val="1"/>
                <w:numId w:val="11"/>
              </w:numPr>
              <w:spacing w:line="276" w:lineRule="auto"/>
              <w:ind w:left="681" w:hanging="681"/>
              <w:rPr>
                <w:rFonts w:cs="Arial"/>
                <w:szCs w:val="24"/>
              </w:rPr>
            </w:pPr>
            <w:r>
              <w:t>A court may also order that a tenancy is changed from joint names to a sole tenancy.</w:t>
            </w:r>
          </w:p>
          <w:p w14:paraId="30813147" w14:textId="370E75AB" w:rsidR="00F96E10" w:rsidRDefault="00F96E10" w:rsidP="005B4C41">
            <w:pPr>
              <w:spacing w:line="276" w:lineRule="auto"/>
              <w:ind w:left="681" w:hanging="681"/>
              <w:rPr>
                <w:rFonts w:cs="Arial"/>
                <w:szCs w:val="24"/>
              </w:rPr>
            </w:pPr>
          </w:p>
          <w:p w14:paraId="122AA10A" w14:textId="3E7A4891" w:rsidR="00FE7EE1" w:rsidRPr="00FE7EE1" w:rsidRDefault="00F96E10" w:rsidP="005B4C41">
            <w:pPr>
              <w:pStyle w:val="ListParagraph"/>
              <w:numPr>
                <w:ilvl w:val="1"/>
                <w:numId w:val="11"/>
              </w:numPr>
              <w:spacing w:line="276" w:lineRule="auto"/>
              <w:ind w:left="681" w:hanging="681"/>
              <w:rPr>
                <w:rFonts w:cs="Arial"/>
                <w:szCs w:val="24"/>
              </w:rPr>
            </w:pPr>
            <w:r w:rsidRPr="00FE7EE1">
              <w:rPr>
                <w:b/>
                <w:bCs/>
              </w:rPr>
              <w:t xml:space="preserve">Absentee </w:t>
            </w:r>
            <w:r w:rsidR="00FE7EE1">
              <w:rPr>
                <w:b/>
                <w:bCs/>
              </w:rPr>
              <w:t>Residents</w:t>
            </w:r>
          </w:p>
          <w:p w14:paraId="0870ACBE" w14:textId="77777777" w:rsidR="00FE7EE1" w:rsidRDefault="00FE7EE1" w:rsidP="005B4C41">
            <w:pPr>
              <w:pStyle w:val="ListParagraph"/>
              <w:ind w:left="681" w:hanging="681"/>
            </w:pPr>
          </w:p>
          <w:p w14:paraId="5BEB8E6E" w14:textId="47E40899" w:rsidR="00F96E10" w:rsidRPr="00F96E10" w:rsidRDefault="00F96E10" w:rsidP="005B4C41">
            <w:pPr>
              <w:pStyle w:val="ListParagraph"/>
              <w:numPr>
                <w:ilvl w:val="1"/>
                <w:numId w:val="11"/>
              </w:numPr>
              <w:spacing w:line="276" w:lineRule="auto"/>
              <w:ind w:left="681" w:hanging="681"/>
              <w:rPr>
                <w:rFonts w:cs="Arial"/>
                <w:szCs w:val="24"/>
              </w:rPr>
            </w:pPr>
            <w:r>
              <w:t xml:space="preserve">If one of the joint residents has left the property and cannot be traced or is uncooperative, then it will not be possible to assign the tenancy to a sole resident because both residents must agree to this. However, in some cases, Hexagon will agree to grant a new tenancy to the remaining resident if they end the tenancy by completing a valid notice to quit giving four weeks’ notice. Hexagon would not normally agree to this unless: </w:t>
            </w:r>
          </w:p>
          <w:p w14:paraId="76C40665" w14:textId="77777777" w:rsidR="00F96E10" w:rsidRPr="00F96E10" w:rsidRDefault="00F96E10" w:rsidP="00F96E10">
            <w:pPr>
              <w:pStyle w:val="ListParagraph"/>
              <w:rPr>
                <w:rFonts w:cs="Arial"/>
                <w:szCs w:val="24"/>
              </w:rPr>
            </w:pPr>
          </w:p>
          <w:p w14:paraId="59365B3C" w14:textId="77777777" w:rsidR="00F96E10" w:rsidRPr="00AF5E75" w:rsidRDefault="00F96E10" w:rsidP="005B4C41">
            <w:pPr>
              <w:pStyle w:val="ListParagraph"/>
              <w:numPr>
                <w:ilvl w:val="0"/>
                <w:numId w:val="9"/>
              </w:numPr>
              <w:spacing w:line="276" w:lineRule="auto"/>
              <w:ind w:left="1107"/>
              <w:rPr>
                <w:rFonts w:cs="Arial"/>
                <w:szCs w:val="24"/>
              </w:rPr>
            </w:pPr>
            <w:r>
              <w:t xml:space="preserve">The absent joint resident has made it clear by their actions that they have no intention of returning to or retaining a legal interest in the property AND </w:t>
            </w:r>
          </w:p>
          <w:p w14:paraId="1556E118" w14:textId="77777777" w:rsidR="00F96E10" w:rsidRPr="00AF5E75" w:rsidRDefault="00F96E10" w:rsidP="005B4C41">
            <w:pPr>
              <w:pStyle w:val="ListParagraph"/>
              <w:numPr>
                <w:ilvl w:val="0"/>
                <w:numId w:val="9"/>
              </w:numPr>
              <w:spacing w:line="276" w:lineRule="auto"/>
              <w:ind w:left="1107"/>
              <w:rPr>
                <w:rFonts w:cs="Arial"/>
                <w:szCs w:val="24"/>
              </w:rPr>
            </w:pPr>
            <w:r>
              <w:t xml:space="preserve">Evidence and investigation shows that there is no chance of getting in touch with the absent resident to confirm their intentions OR such contact could put the remaining resident at risk. </w:t>
            </w:r>
          </w:p>
          <w:p w14:paraId="21985DF3" w14:textId="77777777" w:rsidR="00F96E10" w:rsidRDefault="00F96E10" w:rsidP="00F96E10">
            <w:pPr>
              <w:pStyle w:val="ListParagraph"/>
            </w:pPr>
          </w:p>
          <w:p w14:paraId="6D58E5C7" w14:textId="77777777" w:rsidR="00F96E10" w:rsidRPr="00AF5E75" w:rsidRDefault="00F96E10" w:rsidP="005B4C41">
            <w:pPr>
              <w:pStyle w:val="ListParagraph"/>
              <w:numPr>
                <w:ilvl w:val="1"/>
                <w:numId w:val="11"/>
              </w:numPr>
              <w:spacing w:line="276" w:lineRule="auto"/>
              <w:ind w:left="681" w:hanging="681"/>
              <w:rPr>
                <w:rFonts w:cs="Arial"/>
                <w:szCs w:val="24"/>
              </w:rPr>
            </w:pPr>
            <w:r>
              <w:t xml:space="preserve">A new tenancy will only be granted where the rent account is clear and no legal action is pending or exclusion order etc. exists. </w:t>
            </w:r>
          </w:p>
          <w:p w14:paraId="0673ED78" w14:textId="77777777" w:rsidR="00F96E10" w:rsidRDefault="00F96E10" w:rsidP="005B4C41">
            <w:pPr>
              <w:pStyle w:val="ListParagraph"/>
              <w:ind w:left="681" w:hanging="681"/>
            </w:pPr>
          </w:p>
          <w:p w14:paraId="2869D6E8" w14:textId="77777777" w:rsidR="00F96E10" w:rsidRPr="00F96E10" w:rsidRDefault="00F96E10" w:rsidP="005B4C41">
            <w:pPr>
              <w:pStyle w:val="ListParagraph"/>
              <w:numPr>
                <w:ilvl w:val="1"/>
                <w:numId w:val="11"/>
              </w:numPr>
              <w:spacing w:line="276" w:lineRule="auto"/>
              <w:ind w:left="681" w:hanging="681"/>
              <w:rPr>
                <w:rFonts w:cs="Arial"/>
                <w:szCs w:val="24"/>
              </w:rPr>
            </w:pPr>
            <w:r>
              <w:t xml:space="preserve">Hexagon may not agree to grant a new tenancy if the home would be unsuitable for the proposed new sole resident, for example under-occupied. </w:t>
            </w:r>
          </w:p>
          <w:p w14:paraId="7F66529A" w14:textId="77777777" w:rsidR="00F96E10" w:rsidRDefault="00F96E10" w:rsidP="005B4C41">
            <w:pPr>
              <w:pStyle w:val="ListParagraph"/>
              <w:ind w:left="681" w:hanging="681"/>
            </w:pPr>
          </w:p>
          <w:p w14:paraId="137BD35C" w14:textId="77777777" w:rsidR="00F96E10" w:rsidRPr="00AF5E75" w:rsidRDefault="00F96E10" w:rsidP="005B4C41">
            <w:pPr>
              <w:pStyle w:val="ListParagraph"/>
              <w:numPr>
                <w:ilvl w:val="1"/>
                <w:numId w:val="11"/>
              </w:numPr>
              <w:spacing w:line="276" w:lineRule="auto"/>
              <w:ind w:left="681" w:hanging="681"/>
              <w:rPr>
                <w:rFonts w:cs="Arial"/>
                <w:szCs w:val="24"/>
              </w:rPr>
            </w:pPr>
            <w:r>
              <w:t>In cases where Hexagon consent, the remaining resident will need to serve a valid notice to quit. Once this has expired, a new tenancy is then granted to the remaining customer making them a sole customer.</w:t>
            </w:r>
          </w:p>
          <w:p w14:paraId="40C4E0A9" w14:textId="77777777" w:rsidR="00F96E10" w:rsidRPr="00F96E10" w:rsidRDefault="00F96E10" w:rsidP="005B4C41">
            <w:pPr>
              <w:spacing w:line="276" w:lineRule="auto"/>
              <w:ind w:left="681" w:hanging="681"/>
              <w:rPr>
                <w:rFonts w:cs="Arial"/>
                <w:szCs w:val="24"/>
              </w:rPr>
            </w:pPr>
          </w:p>
          <w:p w14:paraId="4018B85E" w14:textId="77777777" w:rsidR="008043D4" w:rsidRDefault="008043D4" w:rsidP="008043D4">
            <w:pPr>
              <w:pStyle w:val="ListParagraph"/>
              <w:spacing w:line="276" w:lineRule="auto"/>
              <w:ind w:left="360"/>
              <w:rPr>
                <w:rFonts w:cs="Arial"/>
                <w:szCs w:val="24"/>
              </w:rPr>
            </w:pPr>
          </w:p>
          <w:p w14:paraId="6904E5B8" w14:textId="565CBDEA" w:rsidR="00F96E10" w:rsidRPr="00F96E10" w:rsidRDefault="00F96E10" w:rsidP="008043D4">
            <w:pPr>
              <w:pStyle w:val="ListParagraph"/>
              <w:numPr>
                <w:ilvl w:val="1"/>
                <w:numId w:val="11"/>
              </w:numPr>
              <w:spacing w:line="276" w:lineRule="auto"/>
              <w:rPr>
                <w:rFonts w:cs="Arial"/>
                <w:b/>
                <w:bCs/>
                <w:szCs w:val="24"/>
              </w:rPr>
            </w:pPr>
            <w:r w:rsidRPr="00F96E10">
              <w:rPr>
                <w:rFonts w:cs="Arial"/>
                <w:b/>
                <w:bCs/>
                <w:szCs w:val="24"/>
              </w:rPr>
              <w:t>Sole to joint tenancy</w:t>
            </w:r>
          </w:p>
          <w:p w14:paraId="7BEDBEF3" w14:textId="77777777" w:rsidR="00F96E10" w:rsidRDefault="00F96E10" w:rsidP="00F96E10">
            <w:pPr>
              <w:pStyle w:val="ListParagraph"/>
            </w:pPr>
          </w:p>
          <w:p w14:paraId="1D272974" w14:textId="64922125" w:rsidR="008E0D17" w:rsidRPr="00AD544E" w:rsidRDefault="008E0D17" w:rsidP="00FE7EE1">
            <w:pPr>
              <w:pStyle w:val="ListParagraph"/>
              <w:numPr>
                <w:ilvl w:val="1"/>
                <w:numId w:val="11"/>
              </w:numPr>
              <w:spacing w:line="276" w:lineRule="auto"/>
              <w:ind w:left="681" w:hanging="681"/>
              <w:rPr>
                <w:rFonts w:cs="Arial"/>
                <w:szCs w:val="24"/>
              </w:rPr>
            </w:pPr>
            <w:r>
              <w:t xml:space="preserve">There is no legal requirement for a landlord to grant a request from a sole </w:t>
            </w:r>
            <w:r w:rsidR="004B7796">
              <w:t>resident</w:t>
            </w:r>
            <w:r>
              <w:t xml:space="preserve"> for their tenancy to become a joint tenancy. </w:t>
            </w:r>
            <w:r w:rsidR="00AD544E">
              <w:t xml:space="preserve"> A spouse or partner would have the right to succeed to the tenancy in the event of the sole tenant’s death.</w:t>
            </w:r>
          </w:p>
          <w:p w14:paraId="24F1296A" w14:textId="77777777" w:rsidR="00AD544E" w:rsidRPr="00AD544E" w:rsidRDefault="00AD544E" w:rsidP="00AD544E">
            <w:pPr>
              <w:pStyle w:val="ListParagraph"/>
              <w:rPr>
                <w:rFonts w:cs="Arial"/>
                <w:szCs w:val="24"/>
              </w:rPr>
            </w:pPr>
          </w:p>
          <w:p w14:paraId="026E0B7B" w14:textId="60276E25" w:rsidR="008E0D17" w:rsidRDefault="00AD544E" w:rsidP="009B3CE2">
            <w:pPr>
              <w:pStyle w:val="ListParagraph"/>
              <w:numPr>
                <w:ilvl w:val="1"/>
                <w:numId w:val="11"/>
              </w:numPr>
              <w:spacing w:line="276" w:lineRule="auto"/>
              <w:ind w:left="681" w:hanging="681"/>
            </w:pPr>
            <w:r w:rsidRPr="008A3C7C">
              <w:rPr>
                <w:rFonts w:cs="Arial"/>
                <w:szCs w:val="24"/>
              </w:rPr>
              <w:lastRenderedPageBreak/>
              <w:t xml:space="preserve">Sole to joint tenancies is a way of passing one tenancy to another, and </w:t>
            </w:r>
            <w:r w:rsidR="00C8171E">
              <w:rPr>
                <w:rFonts w:cs="Arial"/>
                <w:szCs w:val="24"/>
              </w:rPr>
              <w:t xml:space="preserve">can be </w:t>
            </w:r>
            <w:r w:rsidRPr="008A3C7C">
              <w:rPr>
                <w:rFonts w:cs="Arial"/>
                <w:szCs w:val="24"/>
              </w:rPr>
              <w:t>open to abuse and fraud</w:t>
            </w:r>
            <w:r w:rsidR="008A3C7C" w:rsidRPr="008A3C7C">
              <w:rPr>
                <w:rFonts w:cs="Arial"/>
                <w:szCs w:val="24"/>
              </w:rPr>
              <w:t>.  Hexagon will therefore not grant sole to joint tenancies.</w:t>
            </w:r>
          </w:p>
          <w:p w14:paraId="1747AA59" w14:textId="77777777" w:rsidR="00AF5E75" w:rsidRDefault="00AF5E75" w:rsidP="00AF5E75">
            <w:pPr>
              <w:pStyle w:val="ListParagraph"/>
            </w:pPr>
          </w:p>
          <w:p w14:paraId="26449D6F" w14:textId="77777777" w:rsidR="00AF5E75" w:rsidRPr="00AF5E75" w:rsidRDefault="00AF5E75" w:rsidP="00FE7EE1">
            <w:pPr>
              <w:pStyle w:val="ListParagraph"/>
              <w:numPr>
                <w:ilvl w:val="1"/>
                <w:numId w:val="11"/>
              </w:numPr>
              <w:spacing w:line="276" w:lineRule="auto"/>
              <w:ind w:left="681" w:hanging="681"/>
              <w:rPr>
                <w:rFonts w:cs="Arial"/>
                <w:szCs w:val="24"/>
              </w:rPr>
            </w:pPr>
            <w:r>
              <w:t xml:space="preserve">If an assignment is completed without the prior consent of Hexagon, this will be legally invalid and Hexagon will consider taking possession proceedings against the occupants of the property. </w:t>
            </w:r>
          </w:p>
          <w:p w14:paraId="296A6FE8" w14:textId="59AEE1EE" w:rsidR="004B2B95" w:rsidRPr="00FE7EE1" w:rsidRDefault="004B2B95" w:rsidP="00FE7EE1">
            <w:pPr>
              <w:spacing w:line="276" w:lineRule="auto"/>
              <w:rPr>
                <w:rFonts w:cs="Arial"/>
                <w:b/>
                <w:bCs/>
                <w:sz w:val="28"/>
                <w:szCs w:val="28"/>
              </w:rPr>
            </w:pPr>
          </w:p>
        </w:tc>
      </w:tr>
      <w:tr w:rsidR="00993AFB" w:rsidRPr="009E2856" w14:paraId="6161CCD7" w14:textId="77777777" w:rsidTr="00AD5D66">
        <w:tc>
          <w:tcPr>
            <w:tcW w:w="910" w:type="dxa"/>
          </w:tcPr>
          <w:p w14:paraId="71B7E48F" w14:textId="6167DEFB" w:rsidR="00993AFB" w:rsidRPr="00FE1E48" w:rsidRDefault="00993AFB" w:rsidP="00FE1E48">
            <w:pPr>
              <w:pStyle w:val="ListParagraph"/>
              <w:numPr>
                <w:ilvl w:val="0"/>
                <w:numId w:val="11"/>
              </w:numPr>
              <w:spacing w:line="276" w:lineRule="auto"/>
              <w:rPr>
                <w:rFonts w:cs="Arial"/>
                <w:b/>
                <w:bCs/>
                <w:sz w:val="28"/>
                <w:szCs w:val="28"/>
              </w:rPr>
            </w:pPr>
          </w:p>
        </w:tc>
        <w:tc>
          <w:tcPr>
            <w:tcW w:w="8116" w:type="dxa"/>
          </w:tcPr>
          <w:p w14:paraId="2C80B9BA" w14:textId="417A78B5" w:rsidR="00993AFB" w:rsidRPr="006E40AE" w:rsidRDefault="008A72F5" w:rsidP="00251826">
            <w:pPr>
              <w:spacing w:line="276" w:lineRule="auto"/>
              <w:rPr>
                <w:rFonts w:ascii="Arial" w:hAnsi="Arial" w:cs="Arial"/>
                <w:b/>
                <w:bCs/>
                <w:sz w:val="28"/>
                <w:szCs w:val="28"/>
              </w:rPr>
            </w:pPr>
            <w:r w:rsidRPr="006E40AE">
              <w:rPr>
                <w:rFonts w:ascii="Arial" w:hAnsi="Arial" w:cs="Arial"/>
                <w:b/>
                <w:bCs/>
                <w:sz w:val="28"/>
                <w:szCs w:val="28"/>
              </w:rPr>
              <w:t>Legal Framework</w:t>
            </w:r>
          </w:p>
        </w:tc>
      </w:tr>
      <w:tr w:rsidR="002D6C4B" w:rsidRPr="00FE1E48" w14:paraId="5C089063" w14:textId="77777777" w:rsidTr="00AD5D66">
        <w:tc>
          <w:tcPr>
            <w:tcW w:w="910" w:type="dxa"/>
          </w:tcPr>
          <w:p w14:paraId="6DE7A094" w14:textId="77777777" w:rsidR="002D6C4B" w:rsidRPr="00FE1E48" w:rsidRDefault="002D6C4B" w:rsidP="002D6C4B">
            <w:pPr>
              <w:pStyle w:val="ListParagraph"/>
              <w:spacing w:line="276" w:lineRule="auto"/>
              <w:ind w:left="502"/>
              <w:rPr>
                <w:rFonts w:cs="Arial"/>
                <w:szCs w:val="24"/>
              </w:rPr>
            </w:pPr>
          </w:p>
        </w:tc>
        <w:tc>
          <w:tcPr>
            <w:tcW w:w="8116" w:type="dxa"/>
          </w:tcPr>
          <w:p w14:paraId="6A085097" w14:textId="32A15D1A" w:rsidR="002D6C4B" w:rsidRPr="00FE1E48" w:rsidRDefault="002D6C4B" w:rsidP="00251826">
            <w:pPr>
              <w:spacing w:line="276" w:lineRule="auto"/>
              <w:rPr>
                <w:rFonts w:ascii="Arial" w:hAnsi="Arial" w:cs="Arial"/>
                <w:sz w:val="24"/>
                <w:szCs w:val="24"/>
              </w:rPr>
            </w:pPr>
          </w:p>
        </w:tc>
      </w:tr>
      <w:tr w:rsidR="00993AFB" w:rsidRPr="009E2856" w14:paraId="0AD9F34D" w14:textId="77777777" w:rsidTr="00AD5D66">
        <w:tc>
          <w:tcPr>
            <w:tcW w:w="910" w:type="dxa"/>
          </w:tcPr>
          <w:p w14:paraId="37D30FA1" w14:textId="77777777" w:rsidR="00993AFB" w:rsidRPr="009E2856" w:rsidRDefault="00993AFB" w:rsidP="00251826">
            <w:pPr>
              <w:pStyle w:val="ListParagraph"/>
              <w:spacing w:line="276" w:lineRule="auto"/>
              <w:ind w:left="0"/>
              <w:rPr>
                <w:rFonts w:cs="Arial"/>
                <w:szCs w:val="24"/>
              </w:rPr>
            </w:pPr>
          </w:p>
        </w:tc>
        <w:tc>
          <w:tcPr>
            <w:tcW w:w="8116" w:type="dxa"/>
          </w:tcPr>
          <w:p w14:paraId="5178C19B" w14:textId="20A836FF" w:rsidR="005B4C41" w:rsidRPr="005B4C41" w:rsidRDefault="005B4C41" w:rsidP="005B4C41">
            <w:pPr>
              <w:pStyle w:val="ListParagraph"/>
              <w:numPr>
                <w:ilvl w:val="0"/>
                <w:numId w:val="24"/>
              </w:numPr>
              <w:spacing w:line="276" w:lineRule="auto"/>
              <w:rPr>
                <w:rFonts w:cs="Arial"/>
                <w:szCs w:val="24"/>
              </w:rPr>
            </w:pPr>
            <w:r w:rsidRPr="005B4C41">
              <w:rPr>
                <w:rFonts w:cs="Arial"/>
                <w:szCs w:val="24"/>
              </w:rPr>
              <w:t xml:space="preserve">Housing Acts 1980, 1985, 1988, 1996 </w:t>
            </w:r>
          </w:p>
          <w:p w14:paraId="28FA752F" w14:textId="77777777" w:rsidR="005B4C41" w:rsidRPr="005B4C41" w:rsidRDefault="005B4C41" w:rsidP="005B4C41">
            <w:pPr>
              <w:pStyle w:val="ListParagraph"/>
              <w:numPr>
                <w:ilvl w:val="0"/>
                <w:numId w:val="24"/>
              </w:numPr>
              <w:spacing w:line="276" w:lineRule="auto"/>
              <w:rPr>
                <w:rFonts w:cs="Arial"/>
                <w:szCs w:val="24"/>
              </w:rPr>
            </w:pPr>
            <w:r w:rsidRPr="005B4C41">
              <w:rPr>
                <w:rFonts w:cs="Arial"/>
                <w:szCs w:val="24"/>
              </w:rPr>
              <w:t xml:space="preserve">Localism Act 2011 </w:t>
            </w:r>
          </w:p>
          <w:p w14:paraId="7297735C"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Protection from Eviction Act 1977 </w:t>
            </w:r>
          </w:p>
          <w:p w14:paraId="02EDD10B"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Landlord and Tenant Act 1997 </w:t>
            </w:r>
          </w:p>
          <w:p w14:paraId="5D04DEFD"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Civil Procedure Rules 1998 </w:t>
            </w:r>
          </w:p>
          <w:p w14:paraId="481C7E3B"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County Courts Act 1984 </w:t>
            </w:r>
          </w:p>
          <w:p w14:paraId="5677E983"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Equality Act 2010 </w:t>
            </w:r>
          </w:p>
          <w:p w14:paraId="09DE3311" w14:textId="77777777" w:rsidR="005B4C41" w:rsidRDefault="005B4C41" w:rsidP="005B4C41">
            <w:pPr>
              <w:pStyle w:val="ListParagraph"/>
              <w:numPr>
                <w:ilvl w:val="0"/>
                <w:numId w:val="24"/>
              </w:numPr>
              <w:spacing w:line="276" w:lineRule="auto"/>
              <w:rPr>
                <w:rFonts w:cs="Arial"/>
                <w:szCs w:val="24"/>
              </w:rPr>
            </w:pPr>
            <w:r w:rsidRPr="005B4C41">
              <w:rPr>
                <w:rFonts w:cs="Arial"/>
                <w:szCs w:val="24"/>
              </w:rPr>
              <w:t xml:space="preserve">Human Rights Act 1998 </w:t>
            </w:r>
          </w:p>
          <w:p w14:paraId="7FFC3DC0" w14:textId="2C59D9D6" w:rsidR="005F4777" w:rsidRPr="005B4C41" w:rsidRDefault="005B4C41" w:rsidP="005B4C41">
            <w:pPr>
              <w:pStyle w:val="ListParagraph"/>
              <w:numPr>
                <w:ilvl w:val="0"/>
                <w:numId w:val="24"/>
              </w:numPr>
              <w:spacing w:line="276" w:lineRule="auto"/>
              <w:rPr>
                <w:rFonts w:cs="Arial"/>
                <w:szCs w:val="24"/>
              </w:rPr>
            </w:pPr>
            <w:r w:rsidRPr="005B4C41">
              <w:rPr>
                <w:rFonts w:cs="Arial"/>
                <w:szCs w:val="24"/>
              </w:rPr>
              <w:t xml:space="preserve">Data Protection Act 1998 </w:t>
            </w:r>
          </w:p>
        </w:tc>
      </w:tr>
      <w:tr w:rsidR="00993AFB" w:rsidRPr="009E2856" w14:paraId="485E2BFB" w14:textId="77777777" w:rsidTr="00AD5D66">
        <w:tc>
          <w:tcPr>
            <w:tcW w:w="910" w:type="dxa"/>
          </w:tcPr>
          <w:p w14:paraId="496E83B8" w14:textId="77777777" w:rsidR="00993AFB" w:rsidRPr="008A72F5" w:rsidRDefault="00993AFB" w:rsidP="008A72F5">
            <w:pPr>
              <w:spacing w:line="276" w:lineRule="auto"/>
              <w:ind w:left="774"/>
              <w:rPr>
                <w:rFonts w:cs="Arial"/>
                <w:szCs w:val="24"/>
              </w:rPr>
            </w:pPr>
          </w:p>
        </w:tc>
        <w:tc>
          <w:tcPr>
            <w:tcW w:w="8116" w:type="dxa"/>
          </w:tcPr>
          <w:p w14:paraId="665790E2" w14:textId="599DD7B5" w:rsidR="00993AFB" w:rsidRPr="008A72F5" w:rsidRDefault="00993AFB" w:rsidP="008A72F5">
            <w:pPr>
              <w:spacing w:line="276" w:lineRule="auto"/>
              <w:rPr>
                <w:rFonts w:cs="Arial"/>
                <w:szCs w:val="24"/>
              </w:rPr>
            </w:pPr>
          </w:p>
        </w:tc>
      </w:tr>
      <w:tr w:rsidR="002D6C4B" w:rsidRPr="00300F1A" w14:paraId="7AED101C" w14:textId="77777777" w:rsidTr="00AD5D66">
        <w:tc>
          <w:tcPr>
            <w:tcW w:w="910" w:type="dxa"/>
          </w:tcPr>
          <w:p w14:paraId="5CDFE23A" w14:textId="22AA927A" w:rsidR="00D332FB" w:rsidRPr="00FE1E48" w:rsidRDefault="00D332FB" w:rsidP="00FE1E48">
            <w:pPr>
              <w:pStyle w:val="ListParagraph"/>
              <w:numPr>
                <w:ilvl w:val="0"/>
                <w:numId w:val="11"/>
              </w:numPr>
              <w:spacing w:line="276" w:lineRule="auto"/>
              <w:rPr>
                <w:rFonts w:cs="Arial"/>
                <w:b/>
                <w:bCs/>
                <w:sz w:val="28"/>
                <w:szCs w:val="28"/>
              </w:rPr>
            </w:pPr>
          </w:p>
        </w:tc>
        <w:tc>
          <w:tcPr>
            <w:tcW w:w="8116" w:type="dxa"/>
          </w:tcPr>
          <w:p w14:paraId="13F6B792" w14:textId="01328426" w:rsidR="00D332FB" w:rsidRPr="00300F1A" w:rsidRDefault="00D332FB" w:rsidP="007F6804">
            <w:pPr>
              <w:spacing w:line="276" w:lineRule="auto"/>
              <w:rPr>
                <w:rFonts w:ascii="Arial" w:hAnsi="Arial" w:cs="Arial"/>
                <w:b/>
                <w:bCs/>
                <w:sz w:val="28"/>
                <w:szCs w:val="28"/>
              </w:rPr>
            </w:pPr>
            <w:r w:rsidRPr="00300F1A">
              <w:rPr>
                <w:rFonts w:ascii="Arial" w:hAnsi="Arial" w:cs="Arial"/>
                <w:b/>
                <w:bCs/>
                <w:sz w:val="28"/>
                <w:szCs w:val="28"/>
              </w:rPr>
              <w:t>Relevant Hexagon Policies and Procedures</w:t>
            </w:r>
          </w:p>
        </w:tc>
      </w:tr>
      <w:tr w:rsidR="00993AFB" w:rsidRPr="009E2856" w14:paraId="67A1AB81" w14:textId="77777777" w:rsidTr="00AD5D66">
        <w:tc>
          <w:tcPr>
            <w:tcW w:w="910" w:type="dxa"/>
          </w:tcPr>
          <w:p w14:paraId="72745819" w14:textId="20430230" w:rsidR="00993AFB" w:rsidRPr="00D332FB" w:rsidRDefault="00993AFB" w:rsidP="00D332FB">
            <w:pPr>
              <w:spacing w:line="276" w:lineRule="auto"/>
              <w:ind w:left="1080"/>
              <w:rPr>
                <w:rFonts w:cs="Arial"/>
                <w:szCs w:val="24"/>
              </w:rPr>
            </w:pPr>
          </w:p>
        </w:tc>
        <w:tc>
          <w:tcPr>
            <w:tcW w:w="8116" w:type="dxa"/>
          </w:tcPr>
          <w:p w14:paraId="5FCA1C04" w14:textId="78197EC9" w:rsidR="00993AFB" w:rsidRPr="008A72F5" w:rsidRDefault="00993AFB" w:rsidP="008A72F5">
            <w:pPr>
              <w:spacing w:line="276" w:lineRule="auto"/>
              <w:rPr>
                <w:rFonts w:cs="Arial"/>
                <w:szCs w:val="24"/>
              </w:rPr>
            </w:pPr>
          </w:p>
        </w:tc>
      </w:tr>
      <w:tr w:rsidR="00993AFB" w:rsidRPr="009E2856" w14:paraId="0D1F69F1" w14:textId="77777777" w:rsidTr="00AD5D66">
        <w:tc>
          <w:tcPr>
            <w:tcW w:w="910" w:type="dxa"/>
          </w:tcPr>
          <w:p w14:paraId="57AA13C0" w14:textId="77777777" w:rsidR="00993AFB" w:rsidRPr="009E2856" w:rsidRDefault="00993AFB" w:rsidP="00203AAF">
            <w:pPr>
              <w:pStyle w:val="ListParagraph"/>
              <w:numPr>
                <w:ilvl w:val="0"/>
                <w:numId w:val="1"/>
              </w:numPr>
              <w:spacing w:line="276" w:lineRule="auto"/>
              <w:ind w:left="1134"/>
              <w:rPr>
                <w:rFonts w:cs="Arial"/>
                <w:szCs w:val="24"/>
              </w:rPr>
            </w:pPr>
          </w:p>
        </w:tc>
        <w:tc>
          <w:tcPr>
            <w:tcW w:w="8116" w:type="dxa"/>
          </w:tcPr>
          <w:p w14:paraId="3B0232E3" w14:textId="77777777" w:rsidR="0050217C" w:rsidRDefault="005B4C41" w:rsidP="00203AAF">
            <w:pPr>
              <w:pStyle w:val="ListParagraph"/>
              <w:numPr>
                <w:ilvl w:val="0"/>
                <w:numId w:val="1"/>
              </w:numPr>
              <w:spacing w:line="276" w:lineRule="auto"/>
              <w:ind w:left="747"/>
              <w:rPr>
                <w:rFonts w:cs="Arial"/>
                <w:szCs w:val="24"/>
              </w:rPr>
            </w:pPr>
            <w:r>
              <w:rPr>
                <w:rFonts w:cs="Arial"/>
                <w:szCs w:val="24"/>
              </w:rPr>
              <w:t>Allocations policy and procedure</w:t>
            </w:r>
          </w:p>
          <w:p w14:paraId="07B7C557" w14:textId="77777777" w:rsidR="005B4C41" w:rsidRDefault="005B4C41" w:rsidP="00203AAF">
            <w:pPr>
              <w:pStyle w:val="ListParagraph"/>
              <w:numPr>
                <w:ilvl w:val="0"/>
                <w:numId w:val="1"/>
              </w:numPr>
              <w:spacing w:line="276" w:lineRule="auto"/>
              <w:ind w:left="747"/>
              <w:rPr>
                <w:rFonts w:cs="Arial"/>
                <w:szCs w:val="24"/>
              </w:rPr>
            </w:pPr>
            <w:r>
              <w:rPr>
                <w:rFonts w:cs="Arial"/>
                <w:szCs w:val="24"/>
              </w:rPr>
              <w:t>Rent Arrears policy and procedure</w:t>
            </w:r>
          </w:p>
          <w:p w14:paraId="3F502793" w14:textId="77777777" w:rsidR="005B4C41" w:rsidRDefault="005B4C41" w:rsidP="00203AAF">
            <w:pPr>
              <w:pStyle w:val="ListParagraph"/>
              <w:numPr>
                <w:ilvl w:val="0"/>
                <w:numId w:val="1"/>
              </w:numPr>
              <w:spacing w:line="276" w:lineRule="auto"/>
              <w:ind w:left="747"/>
              <w:rPr>
                <w:rFonts w:cs="Arial"/>
                <w:szCs w:val="24"/>
              </w:rPr>
            </w:pPr>
            <w:r>
              <w:rPr>
                <w:rFonts w:cs="Arial"/>
                <w:szCs w:val="24"/>
              </w:rPr>
              <w:t>Succession policy and procedure</w:t>
            </w:r>
          </w:p>
          <w:p w14:paraId="403D5CD7" w14:textId="2F26BC83" w:rsidR="005B4C41" w:rsidRPr="008A72F5" w:rsidRDefault="005B4C41" w:rsidP="00203AAF">
            <w:pPr>
              <w:pStyle w:val="ListParagraph"/>
              <w:numPr>
                <w:ilvl w:val="0"/>
                <w:numId w:val="1"/>
              </w:numPr>
              <w:spacing w:line="276" w:lineRule="auto"/>
              <w:ind w:left="747"/>
              <w:rPr>
                <w:rFonts w:cs="Arial"/>
                <w:szCs w:val="24"/>
              </w:rPr>
            </w:pPr>
            <w:r>
              <w:rPr>
                <w:rFonts w:cs="Arial"/>
                <w:szCs w:val="24"/>
              </w:rPr>
              <w:t>Mutual exchange policy and procedure</w:t>
            </w:r>
          </w:p>
        </w:tc>
      </w:tr>
      <w:tr w:rsidR="00993AFB" w:rsidRPr="009E2856" w14:paraId="26B024FC" w14:textId="77777777" w:rsidTr="00AD5D66">
        <w:tc>
          <w:tcPr>
            <w:tcW w:w="910" w:type="dxa"/>
          </w:tcPr>
          <w:p w14:paraId="7856E721" w14:textId="77777777" w:rsidR="00993AFB" w:rsidRPr="009E2856" w:rsidRDefault="00993AFB" w:rsidP="009E2856">
            <w:pPr>
              <w:spacing w:line="276" w:lineRule="auto"/>
              <w:ind w:left="360"/>
              <w:rPr>
                <w:rFonts w:ascii="Arial" w:hAnsi="Arial" w:cs="Arial"/>
                <w:sz w:val="24"/>
                <w:szCs w:val="24"/>
              </w:rPr>
            </w:pPr>
          </w:p>
        </w:tc>
        <w:tc>
          <w:tcPr>
            <w:tcW w:w="8116" w:type="dxa"/>
          </w:tcPr>
          <w:p w14:paraId="3F57CF15" w14:textId="0C41E980" w:rsidR="00993AFB" w:rsidRPr="009E2856" w:rsidRDefault="00993AFB" w:rsidP="009E2856">
            <w:pPr>
              <w:spacing w:line="276" w:lineRule="auto"/>
              <w:ind w:left="360"/>
              <w:rPr>
                <w:rFonts w:ascii="Arial" w:hAnsi="Arial" w:cs="Arial"/>
                <w:sz w:val="24"/>
                <w:szCs w:val="24"/>
              </w:rPr>
            </w:pPr>
          </w:p>
        </w:tc>
      </w:tr>
    </w:tbl>
    <w:p w14:paraId="0D0D2024" w14:textId="089D9B89" w:rsidR="004546F6" w:rsidRPr="001F6934" w:rsidRDefault="004546F6" w:rsidP="00993AFB">
      <w:pPr>
        <w:spacing w:line="276" w:lineRule="auto"/>
        <w:rPr>
          <w:rFonts w:ascii="Arial" w:hAnsi="Arial" w:cs="Arial"/>
          <w:sz w:val="24"/>
          <w:szCs w:val="24"/>
        </w:rPr>
      </w:pPr>
    </w:p>
    <w:p w14:paraId="68E22BB5" w14:textId="77777777" w:rsidR="00FE1E48" w:rsidRPr="001F6934" w:rsidRDefault="00FE1E48">
      <w:pPr>
        <w:spacing w:line="276" w:lineRule="auto"/>
        <w:rPr>
          <w:rFonts w:ascii="Arial" w:hAnsi="Arial" w:cs="Arial"/>
          <w:sz w:val="24"/>
          <w:szCs w:val="24"/>
        </w:rPr>
      </w:pPr>
    </w:p>
    <w:sectPr w:rsidR="00FE1E48" w:rsidRPr="001F69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883EA" w14:textId="77777777" w:rsidR="00F31EA3" w:rsidRDefault="00F31EA3" w:rsidP="004546F6">
      <w:pPr>
        <w:spacing w:after="0" w:line="240" w:lineRule="auto"/>
      </w:pPr>
      <w:r>
        <w:separator/>
      </w:r>
    </w:p>
  </w:endnote>
  <w:endnote w:type="continuationSeparator" w:id="0">
    <w:p w14:paraId="05B2A6C3" w14:textId="77777777" w:rsidR="00F31EA3" w:rsidRDefault="00F31EA3" w:rsidP="004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42345"/>
      <w:docPartObj>
        <w:docPartGallery w:val="Page Numbers (Bottom of Page)"/>
        <w:docPartUnique/>
      </w:docPartObj>
    </w:sdtPr>
    <w:sdtEndPr>
      <w:rPr>
        <w:noProof/>
      </w:rPr>
    </w:sdtEndPr>
    <w:sdtContent>
      <w:p w14:paraId="02664C32" w14:textId="0BC78E6C" w:rsidR="00F1778A" w:rsidRDefault="00F177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DA20E" w14:textId="77777777" w:rsidR="00F1778A" w:rsidRDefault="00F1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2290" w14:textId="77777777" w:rsidR="00F31EA3" w:rsidRDefault="00F31EA3" w:rsidP="004546F6">
      <w:pPr>
        <w:spacing w:after="0" w:line="240" w:lineRule="auto"/>
      </w:pPr>
      <w:r>
        <w:separator/>
      </w:r>
    </w:p>
  </w:footnote>
  <w:footnote w:type="continuationSeparator" w:id="0">
    <w:p w14:paraId="2BE5DEA9" w14:textId="77777777" w:rsidR="00F31EA3" w:rsidRDefault="00F31EA3" w:rsidP="0045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3C22" w14:textId="52BEB594" w:rsidR="004546F6" w:rsidRDefault="004546F6">
    <w:pPr>
      <w:pStyle w:val="Header"/>
    </w:pPr>
    <w:r>
      <w:rPr>
        <w:noProof/>
        <w:lang w:eastAsia="en-GB"/>
      </w:rPr>
      <w:drawing>
        <wp:inline distT="0" distB="0" distL="0" distR="0" wp14:anchorId="7948E167" wp14:editId="7BFC292C">
          <wp:extent cx="1660525" cy="715010"/>
          <wp:effectExtent l="0" t="0" r="0" b="0"/>
          <wp:docPr id="9" name="Picture 9"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_Logo_Positiv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15010"/>
                  </a:xfrm>
                  <a:prstGeom prst="rect">
                    <a:avLst/>
                  </a:prstGeom>
                  <a:noFill/>
                  <a:ln>
                    <a:noFill/>
                  </a:ln>
                </pic:spPr>
              </pic:pic>
            </a:graphicData>
          </a:graphic>
        </wp:inline>
      </w:drawing>
    </w:r>
  </w:p>
  <w:p w14:paraId="5827DA2A" w14:textId="77777777" w:rsidR="004546F6" w:rsidRDefault="0045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B1B"/>
    <w:multiLevelType w:val="hybridMultilevel"/>
    <w:tmpl w:val="378A2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4FF7"/>
    <w:multiLevelType w:val="multilevel"/>
    <w:tmpl w:val="77F2E8C4"/>
    <w:lvl w:ilvl="0">
      <w:start w:val="4"/>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953428"/>
    <w:multiLevelType w:val="hybridMultilevel"/>
    <w:tmpl w:val="41AE2DFA"/>
    <w:lvl w:ilvl="0" w:tplc="5B4031F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F5239"/>
    <w:multiLevelType w:val="hybridMultilevel"/>
    <w:tmpl w:val="153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A32D2"/>
    <w:multiLevelType w:val="hybridMultilevel"/>
    <w:tmpl w:val="ED5C5FB2"/>
    <w:lvl w:ilvl="0" w:tplc="4FDABFE4">
      <w:start w:val="1"/>
      <w:numFmt w:val="decimal"/>
      <w:lvlText w:val="%1.0"/>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F1D8D"/>
    <w:multiLevelType w:val="hybridMultilevel"/>
    <w:tmpl w:val="6890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A795F"/>
    <w:multiLevelType w:val="multilevel"/>
    <w:tmpl w:val="903CBB68"/>
    <w:lvl w:ilvl="0">
      <w:start w:val="5"/>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042377"/>
    <w:multiLevelType w:val="multilevel"/>
    <w:tmpl w:val="6B40DD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none"/>
      <w:lvlText w:val="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DE2834"/>
    <w:multiLevelType w:val="hybridMultilevel"/>
    <w:tmpl w:val="2BD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73562"/>
    <w:multiLevelType w:val="multilevel"/>
    <w:tmpl w:val="AFDAD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080CC9"/>
    <w:multiLevelType w:val="multilevel"/>
    <w:tmpl w:val="1706A0AC"/>
    <w:lvl w:ilvl="0">
      <w:start w:val="6"/>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5E3DE4"/>
    <w:multiLevelType w:val="multilevel"/>
    <w:tmpl w:val="AFDAD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FF7ED8"/>
    <w:multiLevelType w:val="hybridMultilevel"/>
    <w:tmpl w:val="DDEC5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F24018"/>
    <w:multiLevelType w:val="multilevel"/>
    <w:tmpl w:val="8B4A0464"/>
    <w:lvl w:ilvl="0">
      <w:start w:val="5"/>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9093D"/>
    <w:multiLevelType w:val="hybridMultilevel"/>
    <w:tmpl w:val="39526EC2"/>
    <w:lvl w:ilvl="0" w:tplc="2BA81DA6">
      <w:start w:val="7"/>
      <w:numFmt w:val="decimal"/>
      <w:lvlText w:val="%1.0"/>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C30ED"/>
    <w:multiLevelType w:val="multilevel"/>
    <w:tmpl w:val="BAC00784"/>
    <w:lvl w:ilvl="0">
      <w:start w:val="1"/>
      <w:numFmt w:val="upperRoman"/>
      <w:lvlText w:val="8.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840C1"/>
    <w:multiLevelType w:val="hybridMultilevel"/>
    <w:tmpl w:val="DABC058C"/>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062F4"/>
    <w:multiLevelType w:val="hybridMultilevel"/>
    <w:tmpl w:val="D2BC0B6C"/>
    <w:lvl w:ilvl="0" w:tplc="2D626116">
      <w:start w:val="1"/>
      <w:numFmt w:val="decimal"/>
      <w:lvlText w:val="8.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3442D"/>
    <w:multiLevelType w:val="hybridMultilevel"/>
    <w:tmpl w:val="6952D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A115FB"/>
    <w:multiLevelType w:val="multilevel"/>
    <w:tmpl w:val="006684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3B4087"/>
    <w:multiLevelType w:val="multilevel"/>
    <w:tmpl w:val="903CBB68"/>
    <w:lvl w:ilvl="0">
      <w:start w:val="5"/>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E9603CA"/>
    <w:multiLevelType w:val="multilevel"/>
    <w:tmpl w:val="903CBB68"/>
    <w:lvl w:ilvl="0">
      <w:start w:val="5"/>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C34221"/>
    <w:multiLevelType w:val="multilevel"/>
    <w:tmpl w:val="903CBB68"/>
    <w:lvl w:ilvl="0">
      <w:start w:val="5"/>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0"/>
  </w:num>
  <w:num w:numId="3">
    <w:abstractNumId w:val="6"/>
  </w:num>
  <w:num w:numId="4">
    <w:abstractNumId w:val="5"/>
  </w:num>
  <w:num w:numId="5">
    <w:abstractNumId w:val="4"/>
  </w:num>
  <w:num w:numId="6">
    <w:abstractNumId w:val="1"/>
  </w:num>
  <w:num w:numId="7">
    <w:abstractNumId w:val="15"/>
  </w:num>
  <w:num w:numId="8">
    <w:abstractNumId w:val="9"/>
  </w:num>
  <w:num w:numId="9">
    <w:abstractNumId w:val="0"/>
  </w:num>
  <w:num w:numId="10">
    <w:abstractNumId w:val="2"/>
  </w:num>
  <w:num w:numId="11">
    <w:abstractNumId w:val="14"/>
  </w:num>
  <w:num w:numId="12">
    <w:abstractNumId w:val="23"/>
  </w:num>
  <w:num w:numId="13">
    <w:abstractNumId w:val="22"/>
  </w:num>
  <w:num w:numId="14">
    <w:abstractNumId w:val="11"/>
  </w:num>
  <w:num w:numId="15">
    <w:abstractNumId w:val="17"/>
  </w:num>
  <w:num w:numId="16">
    <w:abstractNumId w:val="7"/>
  </w:num>
  <w:num w:numId="17">
    <w:abstractNumId w:val="21"/>
  </w:num>
  <w:num w:numId="18">
    <w:abstractNumId w:val="3"/>
  </w:num>
  <w:num w:numId="19">
    <w:abstractNumId w:val="19"/>
  </w:num>
  <w:num w:numId="20">
    <w:abstractNumId w:val="16"/>
  </w:num>
  <w:num w:numId="21">
    <w:abstractNumId w:val="18"/>
  </w:num>
  <w:num w:numId="22">
    <w:abstractNumId w:val="12"/>
  </w:num>
  <w:num w:numId="23">
    <w:abstractNumId w:val="1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F6"/>
    <w:rsid w:val="0000466A"/>
    <w:rsid w:val="000048CD"/>
    <w:rsid w:val="000160C0"/>
    <w:rsid w:val="00143878"/>
    <w:rsid w:val="0017469F"/>
    <w:rsid w:val="0018462C"/>
    <w:rsid w:val="001A6D10"/>
    <w:rsid w:val="001E5374"/>
    <w:rsid w:val="001F6934"/>
    <w:rsid w:val="00203AAF"/>
    <w:rsid w:val="00211D44"/>
    <w:rsid w:val="0022317F"/>
    <w:rsid w:val="00227F4D"/>
    <w:rsid w:val="0027387E"/>
    <w:rsid w:val="002A73EA"/>
    <w:rsid w:val="002D6C4B"/>
    <w:rsid w:val="002F462F"/>
    <w:rsid w:val="00300F1A"/>
    <w:rsid w:val="00305914"/>
    <w:rsid w:val="00315BE2"/>
    <w:rsid w:val="00332AA3"/>
    <w:rsid w:val="00372929"/>
    <w:rsid w:val="003A2E83"/>
    <w:rsid w:val="003E62F1"/>
    <w:rsid w:val="004068A6"/>
    <w:rsid w:val="00421FEE"/>
    <w:rsid w:val="00422465"/>
    <w:rsid w:val="004300D2"/>
    <w:rsid w:val="00432BF0"/>
    <w:rsid w:val="004546F6"/>
    <w:rsid w:val="00471D6D"/>
    <w:rsid w:val="004A5C71"/>
    <w:rsid w:val="004B2B95"/>
    <w:rsid w:val="004B7796"/>
    <w:rsid w:val="004C24E1"/>
    <w:rsid w:val="0050217C"/>
    <w:rsid w:val="00512F9E"/>
    <w:rsid w:val="00527870"/>
    <w:rsid w:val="00554B9A"/>
    <w:rsid w:val="00586BBD"/>
    <w:rsid w:val="00587DE3"/>
    <w:rsid w:val="00590784"/>
    <w:rsid w:val="005B4C41"/>
    <w:rsid w:val="005C06F7"/>
    <w:rsid w:val="005F4777"/>
    <w:rsid w:val="00604EB2"/>
    <w:rsid w:val="0068745D"/>
    <w:rsid w:val="006B269F"/>
    <w:rsid w:val="006D2923"/>
    <w:rsid w:val="006E40AE"/>
    <w:rsid w:val="006F3FF3"/>
    <w:rsid w:val="00710D45"/>
    <w:rsid w:val="007168A2"/>
    <w:rsid w:val="007277CF"/>
    <w:rsid w:val="007926FF"/>
    <w:rsid w:val="007B50DD"/>
    <w:rsid w:val="007C0443"/>
    <w:rsid w:val="007D1820"/>
    <w:rsid w:val="008043D4"/>
    <w:rsid w:val="00807CE9"/>
    <w:rsid w:val="008231A0"/>
    <w:rsid w:val="00840137"/>
    <w:rsid w:val="0089297C"/>
    <w:rsid w:val="008945F7"/>
    <w:rsid w:val="008A3C7C"/>
    <w:rsid w:val="008A72F5"/>
    <w:rsid w:val="008C2E50"/>
    <w:rsid w:val="008D65AA"/>
    <w:rsid w:val="008E0D17"/>
    <w:rsid w:val="008F7F09"/>
    <w:rsid w:val="0093067A"/>
    <w:rsid w:val="00961818"/>
    <w:rsid w:val="0097104F"/>
    <w:rsid w:val="00973D1D"/>
    <w:rsid w:val="00985ABC"/>
    <w:rsid w:val="00993AFB"/>
    <w:rsid w:val="009B0209"/>
    <w:rsid w:val="009C2CFB"/>
    <w:rsid w:val="009E2856"/>
    <w:rsid w:val="00A42503"/>
    <w:rsid w:val="00A54B49"/>
    <w:rsid w:val="00A83CA1"/>
    <w:rsid w:val="00AA7A46"/>
    <w:rsid w:val="00AC68E1"/>
    <w:rsid w:val="00AD544E"/>
    <w:rsid w:val="00AD5D66"/>
    <w:rsid w:val="00AF5E75"/>
    <w:rsid w:val="00B2065A"/>
    <w:rsid w:val="00B32DAD"/>
    <w:rsid w:val="00B64096"/>
    <w:rsid w:val="00BA7794"/>
    <w:rsid w:val="00BB2611"/>
    <w:rsid w:val="00BE3A09"/>
    <w:rsid w:val="00C062F5"/>
    <w:rsid w:val="00C37D62"/>
    <w:rsid w:val="00C540D7"/>
    <w:rsid w:val="00C57083"/>
    <w:rsid w:val="00C8171E"/>
    <w:rsid w:val="00CA5FEA"/>
    <w:rsid w:val="00CC5F1B"/>
    <w:rsid w:val="00D0523A"/>
    <w:rsid w:val="00D332FB"/>
    <w:rsid w:val="00D41D2C"/>
    <w:rsid w:val="00D44404"/>
    <w:rsid w:val="00D6558B"/>
    <w:rsid w:val="00D74C2C"/>
    <w:rsid w:val="00DC0729"/>
    <w:rsid w:val="00DD36C5"/>
    <w:rsid w:val="00E67AFD"/>
    <w:rsid w:val="00E724D9"/>
    <w:rsid w:val="00EE3810"/>
    <w:rsid w:val="00EE3F58"/>
    <w:rsid w:val="00F014C4"/>
    <w:rsid w:val="00F1778A"/>
    <w:rsid w:val="00F301B8"/>
    <w:rsid w:val="00F31EA3"/>
    <w:rsid w:val="00F365BC"/>
    <w:rsid w:val="00F44D10"/>
    <w:rsid w:val="00F635EB"/>
    <w:rsid w:val="00F96E10"/>
    <w:rsid w:val="00FA0A57"/>
    <w:rsid w:val="00FC0D58"/>
    <w:rsid w:val="00FE1E48"/>
    <w:rsid w:val="00FE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CF7"/>
  <w15:chartTrackingRefBased/>
  <w15:docId w15:val="{5B834B3F-A2AD-4C9A-8DFB-1E68EE6E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F6"/>
  </w:style>
  <w:style w:type="paragraph" w:styleId="Footer">
    <w:name w:val="footer"/>
    <w:basedOn w:val="Normal"/>
    <w:link w:val="FooterChar"/>
    <w:uiPriority w:val="99"/>
    <w:unhideWhenUsed/>
    <w:rsid w:val="0045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F6"/>
  </w:style>
  <w:style w:type="character" w:styleId="Hyperlink">
    <w:name w:val="Hyperlink"/>
    <w:basedOn w:val="DefaultParagraphFont"/>
    <w:rsid w:val="004546F6"/>
    <w:rPr>
      <w:color w:val="0000FF"/>
      <w:u w:val="single"/>
    </w:rPr>
  </w:style>
  <w:style w:type="paragraph" w:styleId="ListParagraph">
    <w:name w:val="List Paragraph"/>
    <w:basedOn w:val="Normal"/>
    <w:uiPriority w:val="34"/>
    <w:qFormat/>
    <w:rsid w:val="004546F6"/>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1F69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09"/>
    <w:rPr>
      <w:rFonts w:ascii="Segoe UI" w:hAnsi="Segoe UI" w:cs="Segoe UI"/>
      <w:sz w:val="18"/>
      <w:szCs w:val="18"/>
    </w:rPr>
  </w:style>
  <w:style w:type="character" w:styleId="CommentReference">
    <w:name w:val="annotation reference"/>
    <w:basedOn w:val="DefaultParagraphFont"/>
    <w:uiPriority w:val="99"/>
    <w:semiHidden/>
    <w:unhideWhenUsed/>
    <w:rsid w:val="009B0209"/>
    <w:rPr>
      <w:sz w:val="16"/>
      <w:szCs w:val="16"/>
    </w:rPr>
  </w:style>
  <w:style w:type="paragraph" w:styleId="CommentText">
    <w:name w:val="annotation text"/>
    <w:basedOn w:val="Normal"/>
    <w:link w:val="CommentTextChar"/>
    <w:uiPriority w:val="99"/>
    <w:semiHidden/>
    <w:unhideWhenUsed/>
    <w:rsid w:val="009B0209"/>
    <w:pPr>
      <w:spacing w:line="240" w:lineRule="auto"/>
    </w:pPr>
    <w:rPr>
      <w:sz w:val="20"/>
      <w:szCs w:val="20"/>
    </w:rPr>
  </w:style>
  <w:style w:type="character" w:customStyle="1" w:styleId="CommentTextChar">
    <w:name w:val="Comment Text Char"/>
    <w:basedOn w:val="DefaultParagraphFont"/>
    <w:link w:val="CommentText"/>
    <w:uiPriority w:val="99"/>
    <w:semiHidden/>
    <w:rsid w:val="009B0209"/>
    <w:rPr>
      <w:sz w:val="20"/>
      <w:szCs w:val="20"/>
    </w:rPr>
  </w:style>
  <w:style w:type="paragraph" w:styleId="CommentSubject">
    <w:name w:val="annotation subject"/>
    <w:basedOn w:val="CommentText"/>
    <w:next w:val="CommentText"/>
    <w:link w:val="CommentSubjectChar"/>
    <w:uiPriority w:val="99"/>
    <w:semiHidden/>
    <w:unhideWhenUsed/>
    <w:rsid w:val="009B0209"/>
    <w:rPr>
      <w:b/>
      <w:bCs/>
    </w:rPr>
  </w:style>
  <w:style w:type="character" w:customStyle="1" w:styleId="CommentSubjectChar">
    <w:name w:val="Comment Subject Char"/>
    <w:basedOn w:val="CommentTextChar"/>
    <w:link w:val="CommentSubject"/>
    <w:uiPriority w:val="99"/>
    <w:semiHidden/>
    <w:rsid w:val="009B0209"/>
    <w:rPr>
      <w:b/>
      <w:bCs/>
      <w:sz w:val="20"/>
      <w:szCs w:val="20"/>
    </w:rPr>
  </w:style>
  <w:style w:type="table" w:styleId="TableGrid">
    <w:name w:val="Table Grid"/>
    <w:basedOn w:val="TableNormal"/>
    <w:uiPriority w:val="39"/>
    <w:rsid w:val="0099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3529">
      <w:bodyDiv w:val="1"/>
      <w:marLeft w:val="0"/>
      <w:marRight w:val="0"/>
      <w:marTop w:val="0"/>
      <w:marBottom w:val="0"/>
      <w:divBdr>
        <w:top w:val="none" w:sz="0" w:space="0" w:color="auto"/>
        <w:left w:val="none" w:sz="0" w:space="0" w:color="auto"/>
        <w:bottom w:val="none" w:sz="0" w:space="0" w:color="auto"/>
        <w:right w:val="none" w:sz="0" w:space="0" w:color="auto"/>
      </w:divBdr>
    </w:div>
    <w:div w:id="1259563748">
      <w:bodyDiv w:val="1"/>
      <w:marLeft w:val="0"/>
      <w:marRight w:val="0"/>
      <w:marTop w:val="0"/>
      <w:marBottom w:val="0"/>
      <w:divBdr>
        <w:top w:val="none" w:sz="0" w:space="0" w:color="auto"/>
        <w:left w:val="none" w:sz="0" w:space="0" w:color="auto"/>
        <w:bottom w:val="none" w:sz="0" w:space="0" w:color="auto"/>
        <w:right w:val="none" w:sz="0" w:space="0" w:color="auto"/>
      </w:divBdr>
    </w:div>
    <w:div w:id="1462768646">
      <w:bodyDiv w:val="1"/>
      <w:marLeft w:val="0"/>
      <w:marRight w:val="0"/>
      <w:marTop w:val="0"/>
      <w:marBottom w:val="0"/>
      <w:divBdr>
        <w:top w:val="none" w:sz="0" w:space="0" w:color="auto"/>
        <w:left w:val="none" w:sz="0" w:space="0" w:color="auto"/>
        <w:bottom w:val="none" w:sz="0" w:space="0" w:color="auto"/>
        <w:right w:val="none" w:sz="0" w:space="0" w:color="auto"/>
      </w:divBdr>
    </w:div>
    <w:div w:id="20391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Hexagon Housing Association</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Eyles</dc:creator>
  <cp:keywords/>
  <dc:description/>
  <cp:lastModifiedBy>Judith Harries</cp:lastModifiedBy>
  <cp:revision>6</cp:revision>
  <dcterms:created xsi:type="dcterms:W3CDTF">2021-10-22T10:11:00Z</dcterms:created>
  <dcterms:modified xsi:type="dcterms:W3CDTF">2021-10-22T10:51:00Z</dcterms:modified>
</cp:coreProperties>
</file>