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9F351" w14:textId="77777777" w:rsidR="00CE6661" w:rsidRPr="00B962CE" w:rsidRDefault="00CE6661" w:rsidP="00CE6661">
      <w:pPr>
        <w:jc w:val="right"/>
        <w:rPr>
          <w:rFonts w:ascii="Arial" w:hAnsi="Arial" w:cs="Arial"/>
        </w:rPr>
      </w:pPr>
      <w:r w:rsidRPr="00B962CE">
        <w:rPr>
          <w:rFonts w:ascii="Arial" w:hAnsi="Arial" w:cs="Arial"/>
          <w:noProof/>
          <w:lang w:eastAsia="en-GB"/>
        </w:rPr>
        <w:drawing>
          <wp:anchor distT="0" distB="0" distL="114300" distR="114300" simplePos="0" relativeHeight="251658240" behindDoc="1" locked="0" layoutInCell="1" allowOverlap="1" wp14:anchorId="2A436C8F" wp14:editId="6BFD7AF5">
            <wp:simplePos x="0" y="0"/>
            <wp:positionH relativeFrom="margin">
              <wp:align>center</wp:align>
            </wp:positionH>
            <wp:positionV relativeFrom="paragraph">
              <wp:posOffset>-521970</wp:posOffset>
            </wp:positionV>
            <wp:extent cx="2962275" cy="1266825"/>
            <wp:effectExtent l="0" t="0" r="9525" b="9525"/>
            <wp:wrapNone/>
            <wp:docPr id="2" name="Picture 2" descr="Hexagon_Logo_Positiv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xagon_Logo_Positive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22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173ED4" w14:textId="77777777" w:rsidR="00993859" w:rsidRPr="00B962CE" w:rsidRDefault="00993859" w:rsidP="0099684C">
      <w:pPr>
        <w:tabs>
          <w:tab w:val="left" w:pos="2400"/>
        </w:tabs>
        <w:rPr>
          <w:rFonts w:ascii="Arial" w:hAnsi="Arial" w:cs="Arial"/>
        </w:rPr>
      </w:pPr>
    </w:p>
    <w:p w14:paraId="4D703063" w14:textId="77777777" w:rsidR="00A71F4E" w:rsidRDefault="00A71F4E" w:rsidP="004E734F">
      <w:pPr>
        <w:tabs>
          <w:tab w:val="left" w:pos="2400"/>
        </w:tabs>
        <w:jc w:val="center"/>
        <w:rPr>
          <w:rFonts w:ascii="Arial" w:hAnsi="Arial" w:cs="Arial"/>
          <w:b/>
          <w:sz w:val="32"/>
          <w:szCs w:val="32"/>
        </w:rPr>
      </w:pPr>
    </w:p>
    <w:p w14:paraId="112C9370" w14:textId="04E48287" w:rsidR="00CE6661" w:rsidRPr="009517AD" w:rsidRDefault="0041519D" w:rsidP="004E734F">
      <w:pPr>
        <w:tabs>
          <w:tab w:val="left" w:pos="2400"/>
        </w:tabs>
        <w:jc w:val="center"/>
        <w:rPr>
          <w:rFonts w:ascii="Arial" w:hAnsi="Arial" w:cs="Arial"/>
          <w:b/>
          <w:color w:val="008080"/>
          <w:sz w:val="44"/>
          <w:szCs w:val="44"/>
        </w:rPr>
      </w:pPr>
      <w:r w:rsidRPr="009517AD">
        <w:rPr>
          <w:rFonts w:ascii="Arial" w:hAnsi="Arial" w:cs="Arial"/>
          <w:b/>
          <w:color w:val="008080"/>
          <w:sz w:val="44"/>
          <w:szCs w:val="44"/>
        </w:rPr>
        <w:t>Succession</w:t>
      </w:r>
      <w:r w:rsidR="00B521DC" w:rsidRPr="009517AD">
        <w:rPr>
          <w:rFonts w:ascii="Arial" w:hAnsi="Arial" w:cs="Arial"/>
          <w:b/>
          <w:color w:val="008080"/>
          <w:sz w:val="44"/>
          <w:szCs w:val="44"/>
        </w:rPr>
        <w:t xml:space="preserve"> </w:t>
      </w:r>
      <w:r w:rsidR="004E734F" w:rsidRPr="009517AD">
        <w:rPr>
          <w:rFonts w:ascii="Arial" w:hAnsi="Arial" w:cs="Arial"/>
          <w:b/>
          <w:color w:val="008080"/>
          <w:sz w:val="44"/>
          <w:szCs w:val="44"/>
        </w:rPr>
        <w:t>Policy</w:t>
      </w:r>
    </w:p>
    <w:p w14:paraId="5CD3AAE9" w14:textId="2B488877" w:rsidR="008E26EC" w:rsidRPr="008E26EC" w:rsidRDefault="002D5BB4" w:rsidP="008E26EC">
      <w:pPr>
        <w:pStyle w:val="ListParagraph"/>
        <w:numPr>
          <w:ilvl w:val="0"/>
          <w:numId w:val="3"/>
        </w:numPr>
        <w:tabs>
          <w:tab w:val="left" w:pos="2400"/>
        </w:tabs>
        <w:rPr>
          <w:rFonts w:ascii="Arial" w:hAnsi="Arial" w:cs="Arial"/>
          <w:sz w:val="32"/>
          <w:szCs w:val="32"/>
        </w:rPr>
      </w:pPr>
      <w:r w:rsidRPr="002D5BB4">
        <w:rPr>
          <w:rFonts w:ascii="Arial" w:hAnsi="Arial" w:cs="Arial"/>
          <w:sz w:val="32"/>
          <w:szCs w:val="32"/>
        </w:rPr>
        <w:t>Scope</w:t>
      </w:r>
      <w:r w:rsidR="00BB0271">
        <w:rPr>
          <w:rFonts w:ascii="Arial" w:hAnsi="Arial" w:cs="Arial"/>
          <w:sz w:val="32"/>
          <w:szCs w:val="32"/>
        </w:rPr>
        <w:t xml:space="preserve"> and Aims</w:t>
      </w:r>
    </w:p>
    <w:p w14:paraId="3F509672" w14:textId="77777777" w:rsidR="002D5BB4" w:rsidRPr="002D5BB4" w:rsidRDefault="002D5BB4" w:rsidP="002D5BB4">
      <w:pPr>
        <w:pStyle w:val="ListParagraph"/>
        <w:tabs>
          <w:tab w:val="left" w:pos="2400"/>
        </w:tabs>
        <w:rPr>
          <w:rFonts w:ascii="Arial" w:hAnsi="Arial" w:cs="Arial"/>
          <w:sz w:val="32"/>
          <w:szCs w:val="32"/>
        </w:rPr>
      </w:pPr>
    </w:p>
    <w:p w14:paraId="11A8592D" w14:textId="77777777" w:rsidR="008E26EC" w:rsidRDefault="008E26EC" w:rsidP="002D5BB4">
      <w:pPr>
        <w:pStyle w:val="ListParagraph"/>
        <w:numPr>
          <w:ilvl w:val="0"/>
          <w:numId w:val="3"/>
        </w:numPr>
        <w:tabs>
          <w:tab w:val="left" w:pos="2400"/>
        </w:tabs>
        <w:rPr>
          <w:rFonts w:ascii="Arial" w:hAnsi="Arial" w:cs="Arial"/>
          <w:sz w:val="32"/>
          <w:szCs w:val="32"/>
        </w:rPr>
      </w:pPr>
      <w:r>
        <w:rPr>
          <w:rFonts w:ascii="Arial" w:hAnsi="Arial" w:cs="Arial"/>
          <w:sz w:val="32"/>
          <w:szCs w:val="32"/>
        </w:rPr>
        <w:t>Equality and Diversity</w:t>
      </w:r>
    </w:p>
    <w:p w14:paraId="0271CAF3" w14:textId="77777777" w:rsidR="008E26EC" w:rsidRPr="008E26EC" w:rsidRDefault="008E26EC" w:rsidP="008E26EC">
      <w:pPr>
        <w:pStyle w:val="ListParagraph"/>
        <w:rPr>
          <w:rFonts w:ascii="Arial" w:hAnsi="Arial" w:cs="Arial"/>
          <w:sz w:val="32"/>
          <w:szCs w:val="32"/>
        </w:rPr>
      </w:pPr>
    </w:p>
    <w:p w14:paraId="020E7049" w14:textId="35F4A9F9" w:rsidR="00BB0271" w:rsidRDefault="00BB0271" w:rsidP="002D5BB4">
      <w:pPr>
        <w:pStyle w:val="ListParagraph"/>
        <w:numPr>
          <w:ilvl w:val="0"/>
          <w:numId w:val="3"/>
        </w:numPr>
        <w:tabs>
          <w:tab w:val="left" w:pos="2400"/>
        </w:tabs>
        <w:rPr>
          <w:rFonts w:ascii="Arial" w:hAnsi="Arial" w:cs="Arial"/>
          <w:sz w:val="32"/>
          <w:szCs w:val="32"/>
        </w:rPr>
      </w:pPr>
      <w:r>
        <w:rPr>
          <w:rFonts w:ascii="Arial" w:hAnsi="Arial" w:cs="Arial"/>
          <w:sz w:val="32"/>
          <w:szCs w:val="32"/>
        </w:rPr>
        <w:t>Consultation</w:t>
      </w:r>
    </w:p>
    <w:p w14:paraId="7EF65A70" w14:textId="77777777" w:rsidR="00BB0271" w:rsidRPr="00C00BD3" w:rsidRDefault="00BB0271" w:rsidP="00C00BD3">
      <w:pPr>
        <w:pStyle w:val="ListParagraph"/>
        <w:rPr>
          <w:rFonts w:ascii="Arial" w:hAnsi="Arial" w:cs="Arial"/>
          <w:sz w:val="32"/>
          <w:szCs w:val="32"/>
        </w:rPr>
      </w:pPr>
    </w:p>
    <w:p w14:paraId="62837736" w14:textId="1888E25C" w:rsidR="002D5BB4" w:rsidRDefault="00BB0271" w:rsidP="002D5BB4">
      <w:pPr>
        <w:pStyle w:val="ListParagraph"/>
        <w:numPr>
          <w:ilvl w:val="0"/>
          <w:numId w:val="3"/>
        </w:numPr>
        <w:tabs>
          <w:tab w:val="left" w:pos="2400"/>
        </w:tabs>
        <w:rPr>
          <w:rFonts w:ascii="Arial" w:hAnsi="Arial" w:cs="Arial"/>
          <w:sz w:val="32"/>
          <w:szCs w:val="32"/>
        </w:rPr>
      </w:pPr>
      <w:r>
        <w:rPr>
          <w:rFonts w:ascii="Arial" w:hAnsi="Arial" w:cs="Arial"/>
          <w:sz w:val="32"/>
          <w:szCs w:val="32"/>
        </w:rPr>
        <w:t xml:space="preserve">Policy </w:t>
      </w:r>
      <w:r w:rsidR="002D5BB4">
        <w:rPr>
          <w:rFonts w:ascii="Arial" w:hAnsi="Arial" w:cs="Arial"/>
          <w:sz w:val="32"/>
          <w:szCs w:val="32"/>
        </w:rPr>
        <w:t>Statement</w:t>
      </w:r>
    </w:p>
    <w:p w14:paraId="30135999" w14:textId="77777777" w:rsidR="00E67F68" w:rsidRPr="00E67F68" w:rsidRDefault="00E67F68" w:rsidP="00E67F68">
      <w:pPr>
        <w:pStyle w:val="ListParagraph"/>
        <w:rPr>
          <w:rFonts w:ascii="Arial" w:hAnsi="Arial" w:cs="Arial"/>
          <w:sz w:val="32"/>
          <w:szCs w:val="32"/>
        </w:rPr>
      </w:pPr>
    </w:p>
    <w:p w14:paraId="716106C4" w14:textId="7D67FE94" w:rsidR="00E67F68" w:rsidRDefault="00E67F68" w:rsidP="00E67F68">
      <w:pPr>
        <w:pStyle w:val="ListParagraph"/>
        <w:numPr>
          <w:ilvl w:val="0"/>
          <w:numId w:val="3"/>
        </w:numPr>
        <w:tabs>
          <w:tab w:val="left" w:pos="2400"/>
        </w:tabs>
        <w:rPr>
          <w:rFonts w:ascii="Arial" w:hAnsi="Arial" w:cs="Arial"/>
          <w:sz w:val="32"/>
          <w:szCs w:val="32"/>
        </w:rPr>
      </w:pPr>
      <w:r>
        <w:rPr>
          <w:rFonts w:ascii="Arial" w:hAnsi="Arial" w:cs="Arial"/>
          <w:sz w:val="32"/>
          <w:szCs w:val="32"/>
        </w:rPr>
        <w:t>Legal framework</w:t>
      </w:r>
    </w:p>
    <w:p w14:paraId="6DB16FFA" w14:textId="77777777" w:rsidR="00BB0271" w:rsidRPr="00C00BD3" w:rsidRDefault="00BB0271" w:rsidP="00C00BD3">
      <w:pPr>
        <w:pStyle w:val="ListParagraph"/>
        <w:rPr>
          <w:rFonts w:ascii="Arial" w:hAnsi="Arial" w:cs="Arial"/>
          <w:sz w:val="32"/>
          <w:szCs w:val="32"/>
        </w:rPr>
      </w:pPr>
    </w:p>
    <w:p w14:paraId="7E11F6AC" w14:textId="6798D47D" w:rsidR="00BB0271" w:rsidRPr="002D5BB4" w:rsidRDefault="00BB0271" w:rsidP="00E67F68">
      <w:pPr>
        <w:pStyle w:val="ListParagraph"/>
        <w:numPr>
          <w:ilvl w:val="0"/>
          <w:numId w:val="3"/>
        </w:numPr>
        <w:tabs>
          <w:tab w:val="left" w:pos="2400"/>
        </w:tabs>
        <w:rPr>
          <w:rFonts w:ascii="Arial" w:hAnsi="Arial" w:cs="Arial"/>
          <w:sz w:val="32"/>
          <w:szCs w:val="32"/>
        </w:rPr>
      </w:pPr>
      <w:r>
        <w:rPr>
          <w:rFonts w:ascii="Arial" w:hAnsi="Arial" w:cs="Arial"/>
          <w:sz w:val="32"/>
          <w:szCs w:val="32"/>
        </w:rPr>
        <w:t>Relevant Hexagon policies and procedures</w:t>
      </w:r>
    </w:p>
    <w:p w14:paraId="60260F58" w14:textId="77777777" w:rsidR="00E67F68" w:rsidRPr="00E67F68" w:rsidRDefault="00E67F68" w:rsidP="00E67F68">
      <w:pPr>
        <w:pStyle w:val="ListParagraph"/>
        <w:rPr>
          <w:rFonts w:ascii="Arial" w:hAnsi="Arial" w:cs="Arial"/>
          <w:sz w:val="32"/>
          <w:szCs w:val="32"/>
        </w:rPr>
      </w:pPr>
    </w:p>
    <w:tbl>
      <w:tblPr>
        <w:tblpPr w:leftFromText="180" w:rightFromText="180" w:vertAnchor="text" w:horzAnchor="margin" w:tblpXSpec="center"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320"/>
      </w:tblGrid>
      <w:tr w:rsidR="00BB0271" w:rsidRPr="005E68D7" w14:paraId="261C4A43" w14:textId="77777777" w:rsidTr="009517AD">
        <w:tc>
          <w:tcPr>
            <w:tcW w:w="2088" w:type="dxa"/>
            <w:shd w:val="clear" w:color="auto" w:fill="auto"/>
          </w:tcPr>
          <w:p w14:paraId="33387706" w14:textId="77777777" w:rsidR="00BB0271" w:rsidRPr="005E68D7" w:rsidRDefault="00BB0271" w:rsidP="00141846">
            <w:pPr>
              <w:rPr>
                <w:rFonts w:cs="Arial"/>
                <w:sz w:val="20"/>
              </w:rPr>
            </w:pPr>
            <w:r w:rsidRPr="005E68D7">
              <w:rPr>
                <w:rFonts w:cs="Arial"/>
                <w:sz w:val="20"/>
              </w:rPr>
              <w:t>Version</w:t>
            </w:r>
          </w:p>
        </w:tc>
        <w:tc>
          <w:tcPr>
            <w:tcW w:w="4320" w:type="dxa"/>
            <w:shd w:val="clear" w:color="auto" w:fill="auto"/>
          </w:tcPr>
          <w:p w14:paraId="183AE2D2" w14:textId="77777777" w:rsidR="00BB0271" w:rsidRPr="005E68D7" w:rsidRDefault="00BB0271" w:rsidP="00141846">
            <w:pPr>
              <w:rPr>
                <w:rFonts w:cs="Arial"/>
                <w:i/>
                <w:sz w:val="20"/>
              </w:rPr>
            </w:pPr>
            <w:r w:rsidRPr="005E68D7">
              <w:rPr>
                <w:rFonts w:cs="Arial"/>
                <w:i/>
                <w:sz w:val="20"/>
              </w:rPr>
              <w:t>1.2</w:t>
            </w:r>
          </w:p>
        </w:tc>
      </w:tr>
      <w:tr w:rsidR="00BB0271" w:rsidRPr="005E68D7" w14:paraId="21AA8499" w14:textId="77777777" w:rsidTr="009517AD">
        <w:tc>
          <w:tcPr>
            <w:tcW w:w="2088" w:type="dxa"/>
            <w:shd w:val="clear" w:color="auto" w:fill="auto"/>
          </w:tcPr>
          <w:p w14:paraId="2659BA1E" w14:textId="77777777" w:rsidR="00BB0271" w:rsidRPr="005E68D7" w:rsidRDefault="00BB0271" w:rsidP="00141846">
            <w:pPr>
              <w:rPr>
                <w:rFonts w:cs="Arial"/>
                <w:sz w:val="20"/>
              </w:rPr>
            </w:pPr>
            <w:r w:rsidRPr="005E68D7">
              <w:rPr>
                <w:rFonts w:cs="Arial"/>
                <w:sz w:val="20"/>
              </w:rPr>
              <w:t>Prepared by</w:t>
            </w:r>
          </w:p>
        </w:tc>
        <w:tc>
          <w:tcPr>
            <w:tcW w:w="4320" w:type="dxa"/>
            <w:shd w:val="clear" w:color="auto" w:fill="auto"/>
          </w:tcPr>
          <w:p w14:paraId="5B45D934" w14:textId="63CF593A" w:rsidR="00BB0271" w:rsidRPr="005E68D7" w:rsidRDefault="00A23A02" w:rsidP="00141846">
            <w:pPr>
              <w:rPr>
                <w:rFonts w:cs="Arial"/>
                <w:i/>
                <w:sz w:val="20"/>
              </w:rPr>
            </w:pPr>
            <w:r>
              <w:rPr>
                <w:rFonts w:cs="Arial"/>
                <w:i/>
                <w:sz w:val="20"/>
              </w:rPr>
              <w:t>Judith Harries</w:t>
            </w:r>
          </w:p>
        </w:tc>
      </w:tr>
      <w:tr w:rsidR="00BB0271" w:rsidRPr="005E68D7" w14:paraId="24F621A8" w14:textId="77777777" w:rsidTr="009517AD">
        <w:tc>
          <w:tcPr>
            <w:tcW w:w="2088" w:type="dxa"/>
            <w:shd w:val="clear" w:color="auto" w:fill="auto"/>
          </w:tcPr>
          <w:p w14:paraId="25AD99DB" w14:textId="77777777" w:rsidR="00BB0271" w:rsidRPr="005E68D7" w:rsidRDefault="00BB0271" w:rsidP="00141846">
            <w:pPr>
              <w:rPr>
                <w:rFonts w:cs="Arial"/>
                <w:sz w:val="20"/>
              </w:rPr>
            </w:pPr>
            <w:r w:rsidRPr="005E68D7">
              <w:rPr>
                <w:rFonts w:cs="Arial"/>
                <w:sz w:val="20"/>
              </w:rPr>
              <w:t>Approved by</w:t>
            </w:r>
          </w:p>
        </w:tc>
        <w:tc>
          <w:tcPr>
            <w:tcW w:w="4320" w:type="dxa"/>
            <w:shd w:val="clear" w:color="auto" w:fill="auto"/>
          </w:tcPr>
          <w:p w14:paraId="0FF429D9" w14:textId="1D87CA94" w:rsidR="00BB0271" w:rsidRPr="005E68D7" w:rsidRDefault="009517AD" w:rsidP="00141846">
            <w:pPr>
              <w:rPr>
                <w:rFonts w:cs="Arial"/>
                <w:i/>
                <w:sz w:val="20"/>
              </w:rPr>
            </w:pPr>
            <w:r>
              <w:rPr>
                <w:rFonts w:cs="Arial"/>
                <w:i/>
                <w:sz w:val="20"/>
              </w:rPr>
              <w:t>Housing Services Director</w:t>
            </w:r>
          </w:p>
        </w:tc>
      </w:tr>
      <w:tr w:rsidR="00BB0271" w:rsidRPr="005E68D7" w14:paraId="7148B1E7" w14:textId="77777777" w:rsidTr="009517AD">
        <w:tc>
          <w:tcPr>
            <w:tcW w:w="2088" w:type="dxa"/>
            <w:shd w:val="clear" w:color="auto" w:fill="auto"/>
          </w:tcPr>
          <w:p w14:paraId="1175E9E0" w14:textId="77777777" w:rsidR="00BB0271" w:rsidRPr="005E68D7" w:rsidRDefault="00BB0271" w:rsidP="00141846">
            <w:pPr>
              <w:rPr>
                <w:rFonts w:cs="Arial"/>
                <w:sz w:val="20"/>
              </w:rPr>
            </w:pPr>
            <w:r w:rsidRPr="005E68D7">
              <w:rPr>
                <w:rFonts w:cs="Arial"/>
                <w:sz w:val="20"/>
              </w:rPr>
              <w:t>Approved date</w:t>
            </w:r>
          </w:p>
        </w:tc>
        <w:tc>
          <w:tcPr>
            <w:tcW w:w="4320" w:type="dxa"/>
            <w:shd w:val="clear" w:color="auto" w:fill="auto"/>
          </w:tcPr>
          <w:p w14:paraId="7399E08F" w14:textId="25DA69D5" w:rsidR="00BB0271" w:rsidRPr="005E68D7" w:rsidRDefault="00A23A02" w:rsidP="00141846">
            <w:pPr>
              <w:rPr>
                <w:rFonts w:cs="Arial"/>
                <w:i/>
                <w:sz w:val="20"/>
              </w:rPr>
            </w:pPr>
            <w:r>
              <w:rPr>
                <w:rFonts w:cs="Arial"/>
                <w:i/>
                <w:sz w:val="20"/>
              </w:rPr>
              <w:t>12</w:t>
            </w:r>
            <w:r w:rsidRPr="00A23A02">
              <w:rPr>
                <w:rFonts w:cs="Arial"/>
                <w:i/>
                <w:sz w:val="20"/>
                <w:vertAlign w:val="superscript"/>
              </w:rPr>
              <w:t>th</w:t>
            </w:r>
            <w:r>
              <w:rPr>
                <w:rFonts w:cs="Arial"/>
                <w:i/>
                <w:sz w:val="20"/>
              </w:rPr>
              <w:t xml:space="preserve"> May 2022</w:t>
            </w:r>
          </w:p>
        </w:tc>
      </w:tr>
      <w:tr w:rsidR="00BB0271" w:rsidRPr="005E68D7" w14:paraId="2CFA5193" w14:textId="77777777" w:rsidTr="009517AD">
        <w:tc>
          <w:tcPr>
            <w:tcW w:w="2088" w:type="dxa"/>
            <w:shd w:val="clear" w:color="auto" w:fill="auto"/>
          </w:tcPr>
          <w:p w14:paraId="0CDDD0C0" w14:textId="77777777" w:rsidR="00BB0271" w:rsidRPr="005E68D7" w:rsidRDefault="00BB0271" w:rsidP="00141846">
            <w:pPr>
              <w:rPr>
                <w:rFonts w:cs="Arial"/>
                <w:sz w:val="20"/>
              </w:rPr>
            </w:pPr>
            <w:r w:rsidRPr="005E68D7">
              <w:rPr>
                <w:rFonts w:cs="Arial"/>
                <w:sz w:val="20"/>
              </w:rPr>
              <w:t>Date of last review</w:t>
            </w:r>
          </w:p>
        </w:tc>
        <w:tc>
          <w:tcPr>
            <w:tcW w:w="4320" w:type="dxa"/>
            <w:shd w:val="clear" w:color="auto" w:fill="auto"/>
          </w:tcPr>
          <w:p w14:paraId="349E0388" w14:textId="606CF883" w:rsidR="00BB0271" w:rsidRPr="005E68D7" w:rsidRDefault="00A23A02" w:rsidP="00141846">
            <w:pPr>
              <w:rPr>
                <w:rFonts w:cs="Arial"/>
                <w:i/>
                <w:sz w:val="20"/>
              </w:rPr>
            </w:pPr>
            <w:r>
              <w:rPr>
                <w:rFonts w:cs="Arial"/>
                <w:i/>
                <w:sz w:val="20"/>
              </w:rPr>
              <w:t>May 2022</w:t>
            </w:r>
          </w:p>
        </w:tc>
      </w:tr>
      <w:tr w:rsidR="00BB0271" w:rsidRPr="005E68D7" w14:paraId="67903D01" w14:textId="77777777" w:rsidTr="009517AD">
        <w:tc>
          <w:tcPr>
            <w:tcW w:w="2088" w:type="dxa"/>
            <w:shd w:val="clear" w:color="auto" w:fill="auto"/>
          </w:tcPr>
          <w:p w14:paraId="1A182DBA" w14:textId="77777777" w:rsidR="00BB0271" w:rsidRPr="005E68D7" w:rsidRDefault="00BB0271" w:rsidP="00141846">
            <w:pPr>
              <w:rPr>
                <w:rFonts w:cs="Arial"/>
                <w:sz w:val="20"/>
              </w:rPr>
            </w:pPr>
            <w:r w:rsidRPr="005E68D7">
              <w:rPr>
                <w:rFonts w:cs="Arial"/>
                <w:sz w:val="20"/>
              </w:rPr>
              <w:t>Document Owner</w:t>
            </w:r>
          </w:p>
        </w:tc>
        <w:tc>
          <w:tcPr>
            <w:tcW w:w="4320" w:type="dxa"/>
            <w:shd w:val="clear" w:color="auto" w:fill="auto"/>
          </w:tcPr>
          <w:p w14:paraId="2C9EEA53" w14:textId="79AFE1B1" w:rsidR="00BB0271" w:rsidRPr="005E68D7" w:rsidRDefault="009517AD" w:rsidP="00141846">
            <w:pPr>
              <w:rPr>
                <w:rFonts w:cs="Arial"/>
                <w:i/>
                <w:sz w:val="20"/>
              </w:rPr>
            </w:pPr>
            <w:r>
              <w:rPr>
                <w:rFonts w:cs="Arial"/>
                <w:i/>
                <w:sz w:val="20"/>
              </w:rPr>
              <w:t xml:space="preserve">Housing Services </w:t>
            </w:r>
            <w:r w:rsidR="00BB0271" w:rsidRPr="005E68D7">
              <w:rPr>
                <w:rFonts w:cs="Arial"/>
                <w:i/>
                <w:sz w:val="20"/>
              </w:rPr>
              <w:t>Director</w:t>
            </w:r>
          </w:p>
        </w:tc>
      </w:tr>
      <w:tr w:rsidR="00BB0271" w:rsidRPr="005E68D7" w14:paraId="0E187F03" w14:textId="77777777" w:rsidTr="009517AD">
        <w:tc>
          <w:tcPr>
            <w:tcW w:w="2088" w:type="dxa"/>
            <w:shd w:val="clear" w:color="auto" w:fill="auto"/>
          </w:tcPr>
          <w:p w14:paraId="23813AD0" w14:textId="77777777" w:rsidR="00BB0271" w:rsidRPr="005E68D7" w:rsidRDefault="00BB0271" w:rsidP="00141846">
            <w:pPr>
              <w:rPr>
                <w:rFonts w:cs="Arial"/>
                <w:sz w:val="20"/>
              </w:rPr>
            </w:pPr>
            <w:r w:rsidRPr="005E68D7">
              <w:rPr>
                <w:rFonts w:cs="Arial"/>
                <w:sz w:val="20"/>
              </w:rPr>
              <w:t>Date of Next Review</w:t>
            </w:r>
          </w:p>
        </w:tc>
        <w:tc>
          <w:tcPr>
            <w:tcW w:w="4320" w:type="dxa"/>
            <w:shd w:val="clear" w:color="auto" w:fill="auto"/>
          </w:tcPr>
          <w:p w14:paraId="2FBA032C" w14:textId="4D256067" w:rsidR="00BB0271" w:rsidRPr="005E68D7" w:rsidRDefault="00A23A02" w:rsidP="00A23A02">
            <w:pPr>
              <w:rPr>
                <w:rFonts w:cs="Arial"/>
                <w:i/>
                <w:sz w:val="20"/>
              </w:rPr>
            </w:pPr>
            <w:r>
              <w:rPr>
                <w:rFonts w:cs="Arial"/>
                <w:i/>
                <w:sz w:val="20"/>
              </w:rPr>
              <w:t>July 2024</w:t>
            </w:r>
          </w:p>
        </w:tc>
      </w:tr>
      <w:tr w:rsidR="00BB0271" w:rsidRPr="005E68D7" w14:paraId="3964809E" w14:textId="77777777" w:rsidTr="009517AD">
        <w:tc>
          <w:tcPr>
            <w:tcW w:w="2088" w:type="dxa"/>
            <w:shd w:val="clear" w:color="auto" w:fill="auto"/>
          </w:tcPr>
          <w:p w14:paraId="5CCD4944" w14:textId="77777777" w:rsidR="00BB0271" w:rsidRPr="005E68D7" w:rsidRDefault="00BB0271" w:rsidP="00141846">
            <w:pPr>
              <w:rPr>
                <w:rFonts w:cs="Arial"/>
                <w:sz w:val="20"/>
              </w:rPr>
            </w:pPr>
            <w:r>
              <w:rPr>
                <w:rFonts w:cs="Arial"/>
                <w:sz w:val="20"/>
              </w:rPr>
              <w:t>Lines of Defence/how is the document audited?</w:t>
            </w:r>
          </w:p>
        </w:tc>
        <w:tc>
          <w:tcPr>
            <w:tcW w:w="4320" w:type="dxa"/>
            <w:shd w:val="clear" w:color="auto" w:fill="auto"/>
          </w:tcPr>
          <w:p w14:paraId="4168B529" w14:textId="10E124B5" w:rsidR="00BB0271" w:rsidRDefault="009517AD" w:rsidP="00BB0271">
            <w:pPr>
              <w:pStyle w:val="ListParagraph"/>
              <w:numPr>
                <w:ilvl w:val="0"/>
                <w:numId w:val="6"/>
              </w:numPr>
              <w:rPr>
                <w:rFonts w:cs="Arial"/>
                <w:i/>
                <w:sz w:val="20"/>
              </w:rPr>
            </w:pPr>
            <w:r>
              <w:rPr>
                <w:rFonts w:cs="Arial"/>
                <w:i/>
                <w:sz w:val="20"/>
              </w:rPr>
              <w:t>Policy a</w:t>
            </w:r>
            <w:r w:rsidR="00BB0271">
              <w:rPr>
                <w:rFonts w:cs="Arial"/>
                <w:i/>
                <w:sz w:val="20"/>
              </w:rPr>
              <w:t>pprov</w:t>
            </w:r>
            <w:r>
              <w:rPr>
                <w:rFonts w:cs="Arial"/>
                <w:i/>
                <w:sz w:val="20"/>
              </w:rPr>
              <w:t>ed</w:t>
            </w:r>
            <w:r w:rsidR="00BB0271">
              <w:rPr>
                <w:rFonts w:cs="Arial"/>
                <w:i/>
                <w:sz w:val="20"/>
              </w:rPr>
              <w:t xml:space="preserve"> by </w:t>
            </w:r>
            <w:r>
              <w:rPr>
                <w:rFonts w:cs="Arial"/>
                <w:i/>
                <w:sz w:val="20"/>
              </w:rPr>
              <w:t>Housing Services Director</w:t>
            </w:r>
          </w:p>
          <w:p w14:paraId="2595C1FE" w14:textId="77777777" w:rsidR="00BB0271" w:rsidRDefault="00BB0271" w:rsidP="009517AD">
            <w:pPr>
              <w:pStyle w:val="ListParagraph"/>
              <w:numPr>
                <w:ilvl w:val="0"/>
                <w:numId w:val="6"/>
              </w:numPr>
              <w:rPr>
                <w:rFonts w:cs="Arial"/>
                <w:i/>
                <w:sz w:val="20"/>
              </w:rPr>
            </w:pPr>
            <w:r>
              <w:rPr>
                <w:rFonts w:cs="Arial"/>
                <w:i/>
                <w:sz w:val="20"/>
              </w:rPr>
              <w:t xml:space="preserve">Manager will audit regularly </w:t>
            </w:r>
            <w:r w:rsidR="009517AD">
              <w:rPr>
                <w:rFonts w:cs="Arial"/>
                <w:i/>
                <w:sz w:val="20"/>
              </w:rPr>
              <w:t>through case review</w:t>
            </w:r>
          </w:p>
          <w:p w14:paraId="74A35799" w14:textId="64AE8567" w:rsidR="009517AD" w:rsidRPr="009517AD" w:rsidRDefault="009517AD" w:rsidP="009517AD">
            <w:pPr>
              <w:pStyle w:val="ListParagraph"/>
              <w:numPr>
                <w:ilvl w:val="0"/>
                <w:numId w:val="6"/>
              </w:numPr>
              <w:rPr>
                <w:rFonts w:cs="Arial"/>
                <w:i/>
                <w:sz w:val="20"/>
              </w:rPr>
            </w:pPr>
            <w:r>
              <w:rPr>
                <w:rFonts w:cs="Arial"/>
                <w:i/>
                <w:sz w:val="20"/>
              </w:rPr>
              <w:t>Final authorisation for all successions will require manager and senior manager approval</w:t>
            </w:r>
          </w:p>
        </w:tc>
      </w:tr>
    </w:tbl>
    <w:p w14:paraId="2F277EFB" w14:textId="77777777" w:rsidR="002D5BB4" w:rsidRDefault="002D5BB4" w:rsidP="002D5BB4">
      <w:pPr>
        <w:pStyle w:val="ListParagraph"/>
        <w:tabs>
          <w:tab w:val="left" w:pos="2400"/>
        </w:tabs>
        <w:rPr>
          <w:rFonts w:ascii="Arial" w:hAnsi="Arial" w:cs="Arial"/>
          <w:sz w:val="32"/>
          <w:szCs w:val="32"/>
        </w:rPr>
      </w:pPr>
    </w:p>
    <w:p w14:paraId="193F3F20" w14:textId="77777777" w:rsidR="002D5BB4" w:rsidRDefault="002D5BB4" w:rsidP="004E734F">
      <w:pPr>
        <w:tabs>
          <w:tab w:val="left" w:pos="2400"/>
        </w:tabs>
        <w:jc w:val="center"/>
        <w:rPr>
          <w:rFonts w:ascii="Arial" w:hAnsi="Arial" w:cs="Arial"/>
          <w:b/>
          <w:sz w:val="32"/>
          <w:szCs w:val="32"/>
          <w:u w:val="single"/>
        </w:rPr>
      </w:pPr>
    </w:p>
    <w:p w14:paraId="2A655D3B" w14:textId="77777777" w:rsidR="002D5BB4" w:rsidRDefault="002D5BB4" w:rsidP="004E734F">
      <w:pPr>
        <w:tabs>
          <w:tab w:val="left" w:pos="2400"/>
        </w:tabs>
        <w:jc w:val="center"/>
        <w:rPr>
          <w:rFonts w:ascii="Arial" w:hAnsi="Arial" w:cs="Arial"/>
          <w:b/>
          <w:sz w:val="32"/>
          <w:szCs w:val="32"/>
          <w:u w:val="single"/>
        </w:rPr>
      </w:pPr>
    </w:p>
    <w:p w14:paraId="0DB67987" w14:textId="77777777" w:rsidR="002D5BB4" w:rsidRDefault="002D5BB4" w:rsidP="004E734F">
      <w:pPr>
        <w:tabs>
          <w:tab w:val="left" w:pos="2400"/>
        </w:tabs>
        <w:jc w:val="center"/>
        <w:rPr>
          <w:rFonts w:ascii="Arial" w:hAnsi="Arial" w:cs="Arial"/>
          <w:b/>
          <w:sz w:val="32"/>
          <w:szCs w:val="32"/>
          <w:u w:val="single"/>
        </w:rPr>
      </w:pPr>
    </w:p>
    <w:p w14:paraId="2C60E265" w14:textId="77777777" w:rsidR="002D5BB4" w:rsidRDefault="002D5BB4" w:rsidP="004E734F">
      <w:pPr>
        <w:tabs>
          <w:tab w:val="left" w:pos="2400"/>
        </w:tabs>
        <w:jc w:val="center"/>
        <w:rPr>
          <w:rFonts w:ascii="Arial" w:hAnsi="Arial" w:cs="Arial"/>
          <w:b/>
          <w:sz w:val="32"/>
          <w:szCs w:val="32"/>
          <w:u w:val="single"/>
        </w:rPr>
      </w:pPr>
    </w:p>
    <w:p w14:paraId="1BDA18EE" w14:textId="5B5F5E55" w:rsidR="002D5BB4" w:rsidRDefault="002D5BB4" w:rsidP="002D5BB4">
      <w:pPr>
        <w:tabs>
          <w:tab w:val="left" w:pos="2400"/>
        </w:tabs>
        <w:rPr>
          <w:rFonts w:ascii="Arial" w:hAnsi="Arial" w:cs="Arial"/>
          <w:b/>
          <w:sz w:val="32"/>
          <w:szCs w:val="32"/>
          <w:u w:val="single"/>
        </w:rPr>
      </w:pPr>
    </w:p>
    <w:p w14:paraId="74B2DA76" w14:textId="0C73DD2D" w:rsidR="00BB0271" w:rsidRDefault="00BB0271" w:rsidP="002D5BB4">
      <w:pPr>
        <w:tabs>
          <w:tab w:val="left" w:pos="2400"/>
        </w:tabs>
        <w:rPr>
          <w:rFonts w:ascii="Arial" w:hAnsi="Arial" w:cs="Arial"/>
          <w:b/>
          <w:sz w:val="32"/>
          <w:szCs w:val="32"/>
          <w:u w:val="single"/>
        </w:rPr>
      </w:pPr>
    </w:p>
    <w:p w14:paraId="188BDDF5" w14:textId="77777777" w:rsidR="00BB0271" w:rsidRDefault="00BB0271">
      <w:pPr>
        <w:rPr>
          <w:rFonts w:ascii="Arial" w:hAnsi="Arial" w:cs="Arial"/>
          <w:b/>
          <w:sz w:val="24"/>
          <w:szCs w:val="24"/>
        </w:rPr>
      </w:pPr>
      <w:r>
        <w:rPr>
          <w:rFonts w:ascii="Arial" w:hAnsi="Arial" w:cs="Arial"/>
          <w:b/>
          <w:sz w:val="24"/>
          <w:szCs w:val="24"/>
        </w:rPr>
        <w:br w:type="page"/>
      </w:r>
    </w:p>
    <w:p w14:paraId="18FB2CF1" w14:textId="3207937C" w:rsidR="009A135E" w:rsidRPr="00BB0271" w:rsidRDefault="005570FC" w:rsidP="00BB0271">
      <w:pPr>
        <w:pStyle w:val="ListParagraph"/>
        <w:numPr>
          <w:ilvl w:val="0"/>
          <w:numId w:val="1"/>
        </w:numPr>
        <w:tabs>
          <w:tab w:val="left" w:pos="2400"/>
        </w:tabs>
        <w:ind w:left="567" w:hanging="567"/>
        <w:rPr>
          <w:rFonts w:ascii="Arial" w:hAnsi="Arial" w:cs="Arial"/>
          <w:b/>
          <w:sz w:val="28"/>
          <w:szCs w:val="28"/>
        </w:rPr>
      </w:pPr>
      <w:r w:rsidRPr="00BB0271">
        <w:rPr>
          <w:rFonts w:ascii="Arial" w:hAnsi="Arial" w:cs="Arial"/>
          <w:b/>
          <w:sz w:val="28"/>
          <w:szCs w:val="28"/>
        </w:rPr>
        <w:lastRenderedPageBreak/>
        <w:t>Scope</w:t>
      </w:r>
      <w:r w:rsidR="009A135E" w:rsidRPr="00BB0271">
        <w:rPr>
          <w:rFonts w:ascii="Arial" w:hAnsi="Arial" w:cs="Arial"/>
          <w:b/>
          <w:sz w:val="28"/>
          <w:szCs w:val="28"/>
        </w:rPr>
        <w:t xml:space="preserve"> </w:t>
      </w:r>
      <w:r w:rsidR="00BB0271">
        <w:rPr>
          <w:rFonts w:ascii="Arial" w:hAnsi="Arial" w:cs="Arial"/>
          <w:b/>
          <w:sz w:val="28"/>
          <w:szCs w:val="28"/>
        </w:rPr>
        <w:t>and Aims</w:t>
      </w:r>
    </w:p>
    <w:p w14:paraId="76F7E227" w14:textId="77777777" w:rsidR="009A135E" w:rsidRPr="00B962CE" w:rsidRDefault="009A135E" w:rsidP="0077213E">
      <w:pPr>
        <w:pStyle w:val="ListParagraph"/>
        <w:tabs>
          <w:tab w:val="left" w:pos="2400"/>
        </w:tabs>
        <w:ind w:left="360" w:hanging="360"/>
        <w:rPr>
          <w:rFonts w:ascii="Arial" w:hAnsi="Arial" w:cs="Arial"/>
          <w:b/>
          <w:sz w:val="24"/>
          <w:szCs w:val="24"/>
        </w:rPr>
      </w:pPr>
    </w:p>
    <w:p w14:paraId="1EABF2BF" w14:textId="671FBF72" w:rsidR="00B521DC" w:rsidRPr="005B5BB2" w:rsidRDefault="00B521DC" w:rsidP="008E26EC">
      <w:pPr>
        <w:pStyle w:val="ListParagraph"/>
        <w:numPr>
          <w:ilvl w:val="1"/>
          <w:numId w:val="1"/>
        </w:numPr>
        <w:tabs>
          <w:tab w:val="left" w:pos="2400"/>
        </w:tabs>
        <w:ind w:left="567" w:hanging="567"/>
        <w:rPr>
          <w:rFonts w:ascii="Arial" w:hAnsi="Arial" w:cs="Arial"/>
          <w:b/>
          <w:sz w:val="24"/>
          <w:szCs w:val="24"/>
        </w:rPr>
      </w:pPr>
      <w:r w:rsidRPr="00B962CE">
        <w:rPr>
          <w:rFonts w:ascii="Arial" w:hAnsi="Arial" w:cs="Arial"/>
          <w:sz w:val="24"/>
          <w:szCs w:val="24"/>
        </w:rPr>
        <w:t xml:space="preserve">This policy </w:t>
      </w:r>
      <w:r w:rsidR="00CF7D5C">
        <w:rPr>
          <w:rFonts w:ascii="Arial" w:hAnsi="Arial" w:cs="Arial"/>
          <w:sz w:val="24"/>
          <w:szCs w:val="24"/>
        </w:rPr>
        <w:t>applies to all Hexagon</w:t>
      </w:r>
      <w:r w:rsidR="00F87061">
        <w:rPr>
          <w:rFonts w:ascii="Arial" w:hAnsi="Arial" w:cs="Arial"/>
          <w:sz w:val="24"/>
          <w:szCs w:val="24"/>
        </w:rPr>
        <w:t xml:space="preserve"> </w:t>
      </w:r>
      <w:r w:rsidR="0041519D">
        <w:rPr>
          <w:rFonts w:ascii="Arial" w:hAnsi="Arial" w:cs="Arial"/>
          <w:sz w:val="24"/>
          <w:szCs w:val="24"/>
        </w:rPr>
        <w:t>tenancies</w:t>
      </w:r>
      <w:r w:rsidR="005B5BB2">
        <w:rPr>
          <w:rFonts w:ascii="Arial" w:hAnsi="Arial" w:cs="Arial"/>
          <w:sz w:val="24"/>
          <w:szCs w:val="24"/>
        </w:rPr>
        <w:t xml:space="preserve"> following the death of the tenant</w:t>
      </w:r>
      <w:r w:rsidR="00DD43E5" w:rsidRPr="00DD43E5">
        <w:t xml:space="preserve"> </w:t>
      </w:r>
      <w:r w:rsidR="00DD43E5" w:rsidRPr="00C00BD3">
        <w:rPr>
          <w:rFonts w:ascii="Arial" w:hAnsi="Arial" w:cs="Arial"/>
          <w:sz w:val="24"/>
          <w:szCs w:val="24"/>
        </w:rPr>
        <w:t>and an eligible partner or qualifying member of his or her family takes over the tenancy. Succession also includes when a joint tenant dies and the surviving joint tenant succeeds to the tenancy, known at law as survivorship</w:t>
      </w:r>
      <w:r w:rsidR="00DD43E5">
        <w:t>.</w:t>
      </w:r>
    </w:p>
    <w:p w14:paraId="458C5789" w14:textId="77777777" w:rsidR="00F87061" w:rsidRPr="00F87061" w:rsidRDefault="00F87061" w:rsidP="00F87061">
      <w:pPr>
        <w:pStyle w:val="ListParagraph"/>
        <w:tabs>
          <w:tab w:val="left" w:pos="2400"/>
        </w:tabs>
        <w:ind w:left="567"/>
        <w:rPr>
          <w:rFonts w:ascii="Arial" w:hAnsi="Arial" w:cs="Arial"/>
          <w:b/>
          <w:sz w:val="24"/>
          <w:szCs w:val="24"/>
        </w:rPr>
      </w:pPr>
    </w:p>
    <w:p w14:paraId="44C592DF" w14:textId="77777777" w:rsidR="00DD43E5" w:rsidRPr="00C00BD3" w:rsidRDefault="00F87061" w:rsidP="008E26EC">
      <w:pPr>
        <w:pStyle w:val="ListParagraph"/>
        <w:numPr>
          <w:ilvl w:val="1"/>
          <w:numId w:val="1"/>
        </w:numPr>
        <w:tabs>
          <w:tab w:val="left" w:pos="2400"/>
        </w:tabs>
        <w:ind w:left="567" w:hanging="567"/>
        <w:rPr>
          <w:rFonts w:ascii="Arial" w:hAnsi="Arial" w:cs="Arial"/>
          <w:b/>
          <w:sz w:val="24"/>
          <w:szCs w:val="24"/>
        </w:rPr>
      </w:pPr>
      <w:r>
        <w:rPr>
          <w:rFonts w:ascii="Arial" w:hAnsi="Arial" w:cs="Arial"/>
          <w:sz w:val="24"/>
          <w:szCs w:val="24"/>
        </w:rPr>
        <w:t>It is intended to cover</w:t>
      </w:r>
      <w:r w:rsidR="00DD43E5">
        <w:rPr>
          <w:rFonts w:ascii="Arial" w:hAnsi="Arial" w:cs="Arial"/>
          <w:sz w:val="24"/>
          <w:szCs w:val="24"/>
        </w:rPr>
        <w:t>:</w:t>
      </w:r>
    </w:p>
    <w:p w14:paraId="6AA053CB" w14:textId="77777777" w:rsidR="00DD43E5" w:rsidRPr="00C00BD3" w:rsidRDefault="00DD43E5" w:rsidP="00C00BD3">
      <w:pPr>
        <w:pStyle w:val="ListParagraph"/>
        <w:rPr>
          <w:rFonts w:ascii="Arial" w:hAnsi="Arial" w:cs="Arial"/>
          <w:sz w:val="24"/>
          <w:szCs w:val="24"/>
        </w:rPr>
      </w:pPr>
    </w:p>
    <w:p w14:paraId="7194DC9E" w14:textId="6349823D" w:rsidR="00DD43E5" w:rsidRPr="00C00BD3" w:rsidRDefault="00DD43E5" w:rsidP="00DD43E5">
      <w:pPr>
        <w:pStyle w:val="ListParagraph"/>
        <w:numPr>
          <w:ilvl w:val="0"/>
          <w:numId w:val="7"/>
        </w:numPr>
        <w:tabs>
          <w:tab w:val="left" w:pos="2400"/>
        </w:tabs>
        <w:rPr>
          <w:rFonts w:ascii="Arial" w:hAnsi="Arial" w:cs="Arial"/>
          <w:b/>
          <w:sz w:val="24"/>
          <w:szCs w:val="24"/>
        </w:rPr>
      </w:pPr>
      <w:r>
        <w:rPr>
          <w:rFonts w:ascii="Arial" w:hAnsi="Arial" w:cs="Arial"/>
          <w:sz w:val="24"/>
          <w:szCs w:val="24"/>
        </w:rPr>
        <w:t>S</w:t>
      </w:r>
      <w:r w:rsidR="00F27388" w:rsidRPr="00C00BD3">
        <w:rPr>
          <w:rFonts w:ascii="Arial" w:hAnsi="Arial" w:cs="Arial"/>
          <w:sz w:val="24"/>
          <w:szCs w:val="24"/>
        </w:rPr>
        <w:t>tatutory succession</w:t>
      </w:r>
      <w:r w:rsidR="0041519D" w:rsidRPr="00C00BD3">
        <w:rPr>
          <w:rFonts w:ascii="Arial" w:hAnsi="Arial" w:cs="Arial"/>
          <w:sz w:val="24"/>
          <w:szCs w:val="24"/>
        </w:rPr>
        <w:t xml:space="preserve"> </w:t>
      </w:r>
      <w:r w:rsidR="00F27388" w:rsidRPr="00C00BD3">
        <w:rPr>
          <w:rFonts w:ascii="Arial" w:hAnsi="Arial" w:cs="Arial"/>
          <w:sz w:val="24"/>
          <w:szCs w:val="24"/>
        </w:rPr>
        <w:t>(</w:t>
      </w:r>
      <w:r w:rsidR="0041519D" w:rsidRPr="00C00BD3">
        <w:rPr>
          <w:rFonts w:ascii="Arial" w:hAnsi="Arial" w:cs="Arial"/>
          <w:sz w:val="24"/>
          <w:szCs w:val="24"/>
        </w:rPr>
        <w:t>in which a person succeeds a tenancy based on their legal rights</w:t>
      </w:r>
      <w:r>
        <w:rPr>
          <w:rFonts w:ascii="Arial" w:hAnsi="Arial" w:cs="Arial"/>
          <w:sz w:val="24"/>
          <w:szCs w:val="24"/>
        </w:rPr>
        <w:t xml:space="preserve"> including Survivorship </w:t>
      </w:r>
      <w:r w:rsidRPr="00C00BD3">
        <w:rPr>
          <w:rFonts w:ascii="Arial" w:hAnsi="Arial" w:cs="Arial"/>
          <w:sz w:val="24"/>
          <w:szCs w:val="24"/>
        </w:rPr>
        <w:t>where a joint tenant dies the tenancy continues in the surviving tenants’ name. The remaining joint tenant is classified as a “successor” so there are no further succession rights e.g. if the tenant re-marries, their new spouse</w:t>
      </w:r>
      <w:r>
        <w:rPr>
          <w:rFonts w:ascii="Arial" w:hAnsi="Arial" w:cs="Arial"/>
          <w:sz w:val="24"/>
          <w:szCs w:val="24"/>
        </w:rPr>
        <w:t>/partner</w:t>
      </w:r>
      <w:r w:rsidRPr="00C00BD3">
        <w:rPr>
          <w:rFonts w:ascii="Arial" w:hAnsi="Arial" w:cs="Arial"/>
          <w:sz w:val="24"/>
          <w:szCs w:val="24"/>
        </w:rPr>
        <w:t xml:space="preserve"> has no rights to succeed the tenancy. A new tenancy is not issued</w:t>
      </w:r>
      <w:r>
        <w:rPr>
          <w:rFonts w:ascii="Arial" w:hAnsi="Arial" w:cs="Arial"/>
          <w:sz w:val="24"/>
          <w:szCs w:val="24"/>
        </w:rPr>
        <w:t>.</w:t>
      </w:r>
    </w:p>
    <w:p w14:paraId="52815D68" w14:textId="0846B76C" w:rsidR="00DD43E5" w:rsidRPr="00C00BD3" w:rsidRDefault="00DD43E5" w:rsidP="00DD43E5">
      <w:pPr>
        <w:pStyle w:val="ListParagraph"/>
        <w:numPr>
          <w:ilvl w:val="0"/>
          <w:numId w:val="7"/>
        </w:numPr>
        <w:tabs>
          <w:tab w:val="left" w:pos="2400"/>
        </w:tabs>
        <w:rPr>
          <w:rFonts w:ascii="Arial" w:hAnsi="Arial" w:cs="Arial"/>
          <w:b/>
          <w:sz w:val="24"/>
          <w:szCs w:val="24"/>
        </w:rPr>
      </w:pPr>
      <w:r>
        <w:rPr>
          <w:rFonts w:ascii="Arial" w:hAnsi="Arial" w:cs="Arial"/>
          <w:sz w:val="24"/>
          <w:szCs w:val="24"/>
        </w:rPr>
        <w:t>C</w:t>
      </w:r>
      <w:r w:rsidR="00F27388" w:rsidRPr="00C00BD3">
        <w:rPr>
          <w:rFonts w:ascii="Arial" w:hAnsi="Arial" w:cs="Arial"/>
          <w:sz w:val="24"/>
          <w:szCs w:val="24"/>
        </w:rPr>
        <w:t>ontractual succession (</w:t>
      </w:r>
      <w:r w:rsidR="00001D1B" w:rsidRPr="00C00BD3">
        <w:rPr>
          <w:rFonts w:ascii="Arial" w:hAnsi="Arial" w:cs="Arial"/>
          <w:sz w:val="24"/>
          <w:szCs w:val="24"/>
        </w:rPr>
        <w:t xml:space="preserve">where a potential successor is granted a new tenancy arising from the </w:t>
      </w:r>
      <w:r w:rsidR="00F27388" w:rsidRPr="00C00BD3">
        <w:rPr>
          <w:rFonts w:ascii="Arial" w:hAnsi="Arial" w:cs="Arial"/>
          <w:sz w:val="24"/>
          <w:szCs w:val="24"/>
        </w:rPr>
        <w:t>tenancy terms)</w:t>
      </w:r>
      <w:r>
        <w:rPr>
          <w:rFonts w:ascii="Arial" w:hAnsi="Arial" w:cs="Arial"/>
          <w:sz w:val="24"/>
          <w:szCs w:val="24"/>
        </w:rPr>
        <w:t xml:space="preserve"> </w:t>
      </w:r>
      <w:proofErr w:type="gramStart"/>
      <w:r>
        <w:rPr>
          <w:rFonts w:ascii="Arial" w:hAnsi="Arial" w:cs="Arial"/>
          <w:sz w:val="24"/>
          <w:szCs w:val="24"/>
        </w:rPr>
        <w:t>and;</w:t>
      </w:r>
      <w:proofErr w:type="gramEnd"/>
    </w:p>
    <w:p w14:paraId="34070DEB" w14:textId="7C59FAB5" w:rsidR="00F87061" w:rsidRPr="00C00BD3" w:rsidRDefault="00DD43E5" w:rsidP="00C00BD3">
      <w:pPr>
        <w:pStyle w:val="ListParagraph"/>
        <w:numPr>
          <w:ilvl w:val="0"/>
          <w:numId w:val="7"/>
        </w:numPr>
        <w:tabs>
          <w:tab w:val="left" w:pos="2400"/>
        </w:tabs>
        <w:rPr>
          <w:rFonts w:ascii="Arial" w:hAnsi="Arial" w:cs="Arial"/>
          <w:b/>
          <w:sz w:val="24"/>
          <w:szCs w:val="24"/>
        </w:rPr>
      </w:pPr>
      <w:r>
        <w:rPr>
          <w:rFonts w:ascii="Arial" w:hAnsi="Arial" w:cs="Arial"/>
          <w:sz w:val="24"/>
          <w:szCs w:val="24"/>
        </w:rPr>
        <w:t>D</w:t>
      </w:r>
      <w:r w:rsidR="0041519D" w:rsidRPr="00C00BD3">
        <w:rPr>
          <w:rFonts w:ascii="Arial" w:hAnsi="Arial" w:cs="Arial"/>
          <w:sz w:val="24"/>
          <w:szCs w:val="24"/>
        </w:rPr>
        <w:t>iscretionary succession</w:t>
      </w:r>
      <w:r w:rsidR="00F27388" w:rsidRPr="00C00BD3">
        <w:rPr>
          <w:rFonts w:ascii="Arial" w:hAnsi="Arial" w:cs="Arial"/>
          <w:sz w:val="24"/>
          <w:szCs w:val="24"/>
        </w:rPr>
        <w:t xml:space="preserve"> (</w:t>
      </w:r>
      <w:r w:rsidR="0041519D" w:rsidRPr="00C00BD3">
        <w:rPr>
          <w:rFonts w:ascii="Arial" w:hAnsi="Arial" w:cs="Arial"/>
          <w:sz w:val="24"/>
          <w:szCs w:val="24"/>
        </w:rPr>
        <w:t xml:space="preserve">where Hexagon </w:t>
      </w:r>
      <w:r w:rsidR="00001D1B" w:rsidRPr="00C00BD3">
        <w:rPr>
          <w:rFonts w:ascii="Arial" w:hAnsi="Arial" w:cs="Arial"/>
          <w:sz w:val="24"/>
          <w:szCs w:val="24"/>
        </w:rPr>
        <w:t>grants</w:t>
      </w:r>
      <w:r w:rsidR="0041519D" w:rsidRPr="00C00BD3">
        <w:rPr>
          <w:rFonts w:ascii="Arial" w:hAnsi="Arial" w:cs="Arial"/>
          <w:sz w:val="24"/>
          <w:szCs w:val="24"/>
        </w:rPr>
        <w:t xml:space="preserve"> a new tenancy to a potential successor who does not have the legal </w:t>
      </w:r>
      <w:r w:rsidR="00001D1B" w:rsidRPr="00C00BD3">
        <w:rPr>
          <w:rFonts w:ascii="Arial" w:hAnsi="Arial" w:cs="Arial"/>
          <w:sz w:val="24"/>
          <w:szCs w:val="24"/>
        </w:rPr>
        <w:t xml:space="preserve">or contractual </w:t>
      </w:r>
      <w:r w:rsidR="0041519D" w:rsidRPr="00C00BD3">
        <w:rPr>
          <w:rFonts w:ascii="Arial" w:hAnsi="Arial" w:cs="Arial"/>
          <w:sz w:val="24"/>
          <w:szCs w:val="24"/>
        </w:rPr>
        <w:t>right to succeed</w:t>
      </w:r>
      <w:r w:rsidR="00F27388" w:rsidRPr="00C00BD3">
        <w:rPr>
          <w:rFonts w:ascii="Arial" w:hAnsi="Arial" w:cs="Arial"/>
          <w:sz w:val="24"/>
          <w:szCs w:val="24"/>
        </w:rPr>
        <w:t>)</w:t>
      </w:r>
    </w:p>
    <w:p w14:paraId="0DADC079" w14:textId="77777777" w:rsidR="00B54191" w:rsidRPr="00B54191" w:rsidRDefault="00B54191" w:rsidP="00B54191">
      <w:pPr>
        <w:pStyle w:val="ListParagraph"/>
        <w:tabs>
          <w:tab w:val="left" w:pos="2400"/>
        </w:tabs>
        <w:ind w:left="567"/>
        <w:rPr>
          <w:rFonts w:ascii="Arial" w:hAnsi="Arial" w:cs="Arial"/>
          <w:b/>
          <w:sz w:val="24"/>
          <w:szCs w:val="24"/>
        </w:rPr>
      </w:pPr>
    </w:p>
    <w:p w14:paraId="5DBD9C1A" w14:textId="5E9AC3D5" w:rsidR="00A37262" w:rsidRPr="00C00BD3" w:rsidRDefault="0041519D" w:rsidP="0041519D">
      <w:pPr>
        <w:pStyle w:val="ListParagraph"/>
        <w:numPr>
          <w:ilvl w:val="1"/>
          <w:numId w:val="1"/>
        </w:numPr>
        <w:tabs>
          <w:tab w:val="left" w:pos="2400"/>
        </w:tabs>
        <w:ind w:left="567" w:hanging="567"/>
        <w:rPr>
          <w:rFonts w:ascii="Arial" w:hAnsi="Arial" w:cs="Arial"/>
          <w:b/>
          <w:sz w:val="24"/>
          <w:szCs w:val="24"/>
        </w:rPr>
      </w:pPr>
      <w:r>
        <w:rPr>
          <w:rFonts w:ascii="Arial" w:hAnsi="Arial" w:cs="Arial"/>
          <w:sz w:val="24"/>
          <w:szCs w:val="24"/>
        </w:rPr>
        <w:t xml:space="preserve">The tenancy agreement </w:t>
      </w:r>
      <w:r w:rsidR="003C3177">
        <w:rPr>
          <w:rFonts w:ascii="Arial" w:hAnsi="Arial" w:cs="Arial"/>
          <w:sz w:val="24"/>
          <w:szCs w:val="24"/>
        </w:rPr>
        <w:t>stipulates</w:t>
      </w:r>
      <w:r>
        <w:rPr>
          <w:rFonts w:ascii="Arial" w:hAnsi="Arial" w:cs="Arial"/>
          <w:sz w:val="24"/>
          <w:szCs w:val="24"/>
        </w:rPr>
        <w:t xml:space="preserve"> the</w:t>
      </w:r>
      <w:r w:rsidR="00001D1B">
        <w:rPr>
          <w:rFonts w:ascii="Arial" w:hAnsi="Arial" w:cs="Arial"/>
          <w:sz w:val="24"/>
          <w:szCs w:val="24"/>
        </w:rPr>
        <w:t xml:space="preserve"> statutory and/or contractual </w:t>
      </w:r>
      <w:r>
        <w:rPr>
          <w:rFonts w:ascii="Arial" w:hAnsi="Arial" w:cs="Arial"/>
          <w:sz w:val="24"/>
          <w:szCs w:val="24"/>
        </w:rPr>
        <w:t>succession rights</w:t>
      </w:r>
      <w:r w:rsidR="00641E24">
        <w:rPr>
          <w:rFonts w:ascii="Arial" w:hAnsi="Arial" w:cs="Arial"/>
          <w:sz w:val="24"/>
          <w:szCs w:val="24"/>
        </w:rPr>
        <w:t xml:space="preserve"> </w:t>
      </w:r>
      <w:r w:rsidR="00001D1B">
        <w:rPr>
          <w:rFonts w:ascii="Arial" w:hAnsi="Arial" w:cs="Arial"/>
          <w:sz w:val="24"/>
          <w:szCs w:val="24"/>
        </w:rPr>
        <w:t xml:space="preserve">that may exist for </w:t>
      </w:r>
      <w:r w:rsidR="00641E24">
        <w:rPr>
          <w:rFonts w:ascii="Arial" w:hAnsi="Arial" w:cs="Arial"/>
          <w:sz w:val="24"/>
          <w:szCs w:val="24"/>
        </w:rPr>
        <w:t>each individual tenan</w:t>
      </w:r>
      <w:r w:rsidR="00001D1B">
        <w:rPr>
          <w:rFonts w:ascii="Arial" w:hAnsi="Arial" w:cs="Arial"/>
          <w:sz w:val="24"/>
          <w:szCs w:val="24"/>
        </w:rPr>
        <w:t>cy</w:t>
      </w:r>
    </w:p>
    <w:p w14:paraId="6590244C" w14:textId="77777777" w:rsidR="00BB0271" w:rsidRPr="00C00BD3" w:rsidRDefault="00BB0271" w:rsidP="00C00BD3">
      <w:pPr>
        <w:pStyle w:val="ListParagraph"/>
        <w:rPr>
          <w:rFonts w:ascii="Arial" w:hAnsi="Arial" w:cs="Arial"/>
          <w:b/>
          <w:sz w:val="24"/>
          <w:szCs w:val="24"/>
        </w:rPr>
      </w:pPr>
    </w:p>
    <w:p w14:paraId="65A5FA06" w14:textId="337C6D48" w:rsidR="00173F8B" w:rsidRPr="00C00BD3" w:rsidRDefault="00BB0271" w:rsidP="00BB0271">
      <w:pPr>
        <w:pStyle w:val="ListParagraph"/>
        <w:numPr>
          <w:ilvl w:val="1"/>
          <w:numId w:val="1"/>
        </w:numPr>
        <w:tabs>
          <w:tab w:val="left" w:pos="2400"/>
        </w:tabs>
        <w:ind w:left="567" w:hanging="567"/>
        <w:rPr>
          <w:rFonts w:ascii="Arial" w:hAnsi="Arial" w:cs="Arial"/>
          <w:b/>
          <w:sz w:val="24"/>
          <w:szCs w:val="24"/>
        </w:rPr>
      </w:pPr>
      <w:r>
        <w:rPr>
          <w:rFonts w:ascii="Arial" w:hAnsi="Arial" w:cs="Arial"/>
          <w:sz w:val="24"/>
          <w:szCs w:val="24"/>
        </w:rPr>
        <w:t xml:space="preserve">When a person is not eligible to be considered for succession rights by either of  these means it is our intention to consider the merits of potential succession claims on a discretionary basis where a family member has been continuously  living with a tenant for an extended  period of more than 12 months. </w:t>
      </w:r>
    </w:p>
    <w:p w14:paraId="215A062A" w14:textId="77777777" w:rsidR="00173F8B" w:rsidRPr="00C00BD3" w:rsidRDefault="00173F8B" w:rsidP="00C00BD3">
      <w:pPr>
        <w:pStyle w:val="ListParagraph"/>
        <w:tabs>
          <w:tab w:val="left" w:pos="2400"/>
        </w:tabs>
        <w:ind w:left="567"/>
        <w:rPr>
          <w:rFonts w:ascii="Arial" w:hAnsi="Arial" w:cs="Arial"/>
          <w:b/>
          <w:sz w:val="24"/>
          <w:szCs w:val="24"/>
        </w:rPr>
      </w:pPr>
    </w:p>
    <w:p w14:paraId="646D3415" w14:textId="77777777" w:rsidR="00173F8B" w:rsidRPr="00C00BD3" w:rsidRDefault="00173F8B" w:rsidP="00BB0271">
      <w:pPr>
        <w:pStyle w:val="ListParagraph"/>
        <w:numPr>
          <w:ilvl w:val="1"/>
          <w:numId w:val="1"/>
        </w:numPr>
        <w:tabs>
          <w:tab w:val="left" w:pos="2400"/>
        </w:tabs>
        <w:ind w:left="567" w:hanging="567"/>
        <w:rPr>
          <w:rFonts w:ascii="Arial" w:hAnsi="Arial" w:cs="Arial"/>
          <w:b/>
          <w:sz w:val="24"/>
          <w:szCs w:val="24"/>
        </w:rPr>
      </w:pPr>
      <w:r w:rsidRPr="00C00BD3">
        <w:rPr>
          <w:rFonts w:ascii="Arial" w:hAnsi="Arial" w:cs="Arial"/>
          <w:sz w:val="24"/>
          <w:szCs w:val="24"/>
        </w:rPr>
        <w:t xml:space="preserve">This policy aims to ensure that in considering requests for succession </w:t>
      </w:r>
      <w:r>
        <w:rPr>
          <w:rFonts w:ascii="Arial" w:hAnsi="Arial" w:cs="Arial"/>
          <w:sz w:val="24"/>
          <w:szCs w:val="24"/>
        </w:rPr>
        <w:t>Hexagon</w:t>
      </w:r>
      <w:r w:rsidRPr="00C00BD3">
        <w:rPr>
          <w:rFonts w:ascii="Arial" w:hAnsi="Arial" w:cs="Arial"/>
          <w:sz w:val="24"/>
          <w:szCs w:val="24"/>
        </w:rPr>
        <w:t>:</w:t>
      </w:r>
    </w:p>
    <w:p w14:paraId="62DDE964" w14:textId="77777777" w:rsidR="00173F8B" w:rsidRPr="00C00BD3" w:rsidRDefault="00173F8B" w:rsidP="00173F8B">
      <w:pPr>
        <w:pStyle w:val="ListParagraph"/>
        <w:numPr>
          <w:ilvl w:val="0"/>
          <w:numId w:val="9"/>
        </w:numPr>
        <w:tabs>
          <w:tab w:val="left" w:pos="2400"/>
        </w:tabs>
        <w:ind w:left="851"/>
        <w:rPr>
          <w:rFonts w:ascii="Arial" w:hAnsi="Arial" w:cs="Arial"/>
          <w:b/>
          <w:sz w:val="24"/>
          <w:szCs w:val="24"/>
        </w:rPr>
      </w:pPr>
      <w:r>
        <w:rPr>
          <w:rFonts w:ascii="Arial" w:hAnsi="Arial" w:cs="Arial"/>
          <w:sz w:val="24"/>
          <w:szCs w:val="24"/>
        </w:rPr>
        <w:t>R</w:t>
      </w:r>
      <w:r w:rsidRPr="00C00BD3">
        <w:rPr>
          <w:rFonts w:ascii="Arial" w:hAnsi="Arial" w:cs="Arial"/>
          <w:sz w:val="24"/>
          <w:szCs w:val="24"/>
        </w:rPr>
        <w:t>espond</w:t>
      </w:r>
      <w:r>
        <w:rPr>
          <w:rFonts w:ascii="Arial" w:hAnsi="Arial" w:cs="Arial"/>
          <w:sz w:val="24"/>
          <w:szCs w:val="24"/>
        </w:rPr>
        <w:t>s</w:t>
      </w:r>
      <w:r w:rsidRPr="00C00BD3">
        <w:rPr>
          <w:rFonts w:ascii="Arial" w:hAnsi="Arial" w:cs="Arial"/>
          <w:sz w:val="24"/>
          <w:szCs w:val="24"/>
        </w:rPr>
        <w:t xml:space="preserve"> sensitively to residents at a time of grief and loss </w:t>
      </w:r>
    </w:p>
    <w:p w14:paraId="21F5706B" w14:textId="291682E3" w:rsidR="00173F8B" w:rsidRPr="00C00BD3" w:rsidRDefault="00173F8B" w:rsidP="00173F8B">
      <w:pPr>
        <w:pStyle w:val="ListParagraph"/>
        <w:numPr>
          <w:ilvl w:val="0"/>
          <w:numId w:val="9"/>
        </w:numPr>
        <w:tabs>
          <w:tab w:val="left" w:pos="2400"/>
        </w:tabs>
        <w:ind w:left="851"/>
        <w:rPr>
          <w:rFonts w:ascii="Arial" w:hAnsi="Arial" w:cs="Arial"/>
          <w:b/>
          <w:sz w:val="24"/>
          <w:szCs w:val="24"/>
        </w:rPr>
      </w:pPr>
      <w:r>
        <w:rPr>
          <w:rFonts w:ascii="Arial" w:hAnsi="Arial" w:cs="Arial"/>
          <w:sz w:val="24"/>
          <w:szCs w:val="24"/>
        </w:rPr>
        <w:t>M</w:t>
      </w:r>
      <w:r w:rsidRPr="00C00BD3">
        <w:rPr>
          <w:rFonts w:ascii="Arial" w:hAnsi="Arial" w:cs="Arial"/>
          <w:sz w:val="24"/>
          <w:szCs w:val="24"/>
        </w:rPr>
        <w:t>inimise</w:t>
      </w:r>
      <w:r>
        <w:rPr>
          <w:rFonts w:ascii="Arial" w:hAnsi="Arial" w:cs="Arial"/>
          <w:sz w:val="24"/>
          <w:szCs w:val="24"/>
        </w:rPr>
        <w:t>s</w:t>
      </w:r>
      <w:r w:rsidRPr="00C00BD3">
        <w:rPr>
          <w:rFonts w:ascii="Arial" w:hAnsi="Arial" w:cs="Arial"/>
          <w:sz w:val="24"/>
          <w:szCs w:val="24"/>
        </w:rPr>
        <w:t xml:space="preserve"> periods of uncertainty for remaining household members </w:t>
      </w:r>
    </w:p>
    <w:p w14:paraId="47FB7164" w14:textId="3C285520" w:rsidR="00173F8B" w:rsidRPr="00C00BD3" w:rsidRDefault="00173F8B" w:rsidP="00173F8B">
      <w:pPr>
        <w:pStyle w:val="ListParagraph"/>
        <w:numPr>
          <w:ilvl w:val="0"/>
          <w:numId w:val="9"/>
        </w:numPr>
        <w:tabs>
          <w:tab w:val="left" w:pos="2400"/>
        </w:tabs>
        <w:ind w:left="851"/>
        <w:rPr>
          <w:rFonts w:ascii="Arial" w:hAnsi="Arial" w:cs="Arial"/>
          <w:b/>
          <w:sz w:val="24"/>
          <w:szCs w:val="24"/>
        </w:rPr>
      </w:pPr>
      <w:r>
        <w:rPr>
          <w:rFonts w:ascii="Arial" w:hAnsi="Arial" w:cs="Arial"/>
          <w:sz w:val="24"/>
          <w:szCs w:val="24"/>
        </w:rPr>
        <w:t>M</w:t>
      </w:r>
      <w:r w:rsidRPr="00C00BD3">
        <w:rPr>
          <w:rFonts w:ascii="Arial" w:hAnsi="Arial" w:cs="Arial"/>
          <w:sz w:val="24"/>
          <w:szCs w:val="24"/>
        </w:rPr>
        <w:t>ake</w:t>
      </w:r>
      <w:r>
        <w:rPr>
          <w:rFonts w:ascii="Arial" w:hAnsi="Arial" w:cs="Arial"/>
          <w:sz w:val="24"/>
          <w:szCs w:val="24"/>
        </w:rPr>
        <w:t>s</w:t>
      </w:r>
      <w:r w:rsidRPr="00C00BD3">
        <w:rPr>
          <w:rFonts w:ascii="Arial" w:hAnsi="Arial" w:cs="Arial"/>
          <w:sz w:val="24"/>
          <w:szCs w:val="24"/>
        </w:rPr>
        <w:t xml:space="preserve"> the best and most efficient use of available housing </w:t>
      </w:r>
    </w:p>
    <w:p w14:paraId="0A63A658" w14:textId="4A76639C" w:rsidR="00173F8B" w:rsidRPr="00173F8B" w:rsidRDefault="00173F8B" w:rsidP="00C00BD3">
      <w:pPr>
        <w:pStyle w:val="ListParagraph"/>
        <w:numPr>
          <w:ilvl w:val="0"/>
          <w:numId w:val="9"/>
        </w:numPr>
        <w:tabs>
          <w:tab w:val="left" w:pos="2400"/>
        </w:tabs>
        <w:ind w:left="851"/>
        <w:rPr>
          <w:rFonts w:ascii="Arial" w:hAnsi="Arial" w:cs="Arial"/>
          <w:b/>
          <w:sz w:val="24"/>
          <w:szCs w:val="24"/>
        </w:rPr>
      </w:pPr>
      <w:r>
        <w:rPr>
          <w:rFonts w:ascii="Arial" w:hAnsi="Arial" w:cs="Arial"/>
          <w:sz w:val="24"/>
          <w:szCs w:val="24"/>
        </w:rPr>
        <w:t>W</w:t>
      </w:r>
      <w:r w:rsidRPr="00C00BD3">
        <w:rPr>
          <w:rFonts w:ascii="Arial" w:hAnsi="Arial" w:cs="Arial"/>
          <w:sz w:val="24"/>
          <w:szCs w:val="24"/>
        </w:rPr>
        <w:t>eigh</w:t>
      </w:r>
      <w:r>
        <w:rPr>
          <w:rFonts w:ascii="Arial" w:hAnsi="Arial" w:cs="Arial"/>
          <w:sz w:val="24"/>
          <w:szCs w:val="24"/>
        </w:rPr>
        <w:t>s</w:t>
      </w:r>
      <w:r w:rsidRPr="00C00BD3">
        <w:rPr>
          <w:rFonts w:ascii="Arial" w:hAnsi="Arial" w:cs="Arial"/>
          <w:sz w:val="24"/>
          <w:szCs w:val="24"/>
        </w:rPr>
        <w:t xml:space="preserve"> up the demand for the </w:t>
      </w:r>
      <w:r>
        <w:rPr>
          <w:rFonts w:ascii="Arial" w:hAnsi="Arial" w:cs="Arial"/>
          <w:sz w:val="24"/>
          <w:szCs w:val="24"/>
        </w:rPr>
        <w:t>home</w:t>
      </w:r>
      <w:r w:rsidRPr="00C00BD3">
        <w:rPr>
          <w:rFonts w:ascii="Arial" w:hAnsi="Arial" w:cs="Arial"/>
          <w:sz w:val="24"/>
          <w:szCs w:val="24"/>
        </w:rPr>
        <w:t xml:space="preserve"> and the housing needs of the potential successor and other housing needs where there is no right of succession.</w:t>
      </w:r>
    </w:p>
    <w:p w14:paraId="52822346" w14:textId="77777777" w:rsidR="00BB0271" w:rsidRPr="00C00BD3" w:rsidRDefault="00BB0271" w:rsidP="00C00BD3">
      <w:pPr>
        <w:pStyle w:val="ListParagraph"/>
        <w:tabs>
          <w:tab w:val="left" w:pos="2400"/>
        </w:tabs>
        <w:ind w:left="567"/>
        <w:rPr>
          <w:rFonts w:ascii="Arial" w:hAnsi="Arial" w:cs="Arial"/>
          <w:b/>
          <w:sz w:val="24"/>
          <w:szCs w:val="24"/>
        </w:rPr>
      </w:pPr>
    </w:p>
    <w:p w14:paraId="4E1A697C" w14:textId="77777777" w:rsidR="00A37262" w:rsidRPr="00A37262" w:rsidRDefault="00A37262" w:rsidP="00A37262">
      <w:pPr>
        <w:pStyle w:val="ListParagraph"/>
        <w:tabs>
          <w:tab w:val="left" w:pos="2400"/>
        </w:tabs>
        <w:ind w:left="567"/>
        <w:rPr>
          <w:rFonts w:ascii="Arial" w:hAnsi="Arial" w:cs="Arial"/>
          <w:b/>
          <w:sz w:val="24"/>
          <w:szCs w:val="24"/>
        </w:rPr>
      </w:pPr>
    </w:p>
    <w:p w14:paraId="664DA44B" w14:textId="77777777" w:rsidR="008E26EC" w:rsidRPr="00C00BD3" w:rsidRDefault="008E26EC" w:rsidP="008E26EC">
      <w:pPr>
        <w:pStyle w:val="ListParagraph"/>
        <w:numPr>
          <w:ilvl w:val="0"/>
          <w:numId w:val="1"/>
        </w:numPr>
        <w:tabs>
          <w:tab w:val="left" w:pos="2400"/>
        </w:tabs>
        <w:ind w:left="567" w:hanging="567"/>
        <w:rPr>
          <w:rFonts w:ascii="Arial" w:hAnsi="Arial" w:cs="Arial"/>
          <w:b/>
          <w:sz w:val="28"/>
          <w:szCs w:val="28"/>
        </w:rPr>
      </w:pPr>
      <w:r w:rsidRPr="00C00BD3">
        <w:rPr>
          <w:rFonts w:ascii="Arial" w:hAnsi="Arial" w:cs="Arial"/>
          <w:b/>
          <w:sz w:val="28"/>
          <w:szCs w:val="28"/>
        </w:rPr>
        <w:t>Equality and Diversity</w:t>
      </w:r>
    </w:p>
    <w:p w14:paraId="4BA4C0D0" w14:textId="77777777" w:rsidR="008E26EC" w:rsidRPr="008E26EC" w:rsidRDefault="008E26EC" w:rsidP="008E26EC">
      <w:pPr>
        <w:pStyle w:val="ListParagraph"/>
        <w:tabs>
          <w:tab w:val="left" w:pos="2400"/>
        </w:tabs>
        <w:ind w:left="567"/>
        <w:rPr>
          <w:rFonts w:ascii="Arial" w:hAnsi="Arial" w:cs="Arial"/>
          <w:b/>
          <w:sz w:val="24"/>
          <w:szCs w:val="24"/>
        </w:rPr>
      </w:pPr>
    </w:p>
    <w:p w14:paraId="0A85D72A" w14:textId="77777777" w:rsidR="00641E24" w:rsidRPr="008E26EC" w:rsidRDefault="00641E24" w:rsidP="00641E24">
      <w:pPr>
        <w:pStyle w:val="ListParagraph"/>
        <w:numPr>
          <w:ilvl w:val="1"/>
          <w:numId w:val="1"/>
        </w:numPr>
        <w:tabs>
          <w:tab w:val="left" w:pos="2400"/>
        </w:tabs>
        <w:ind w:left="567" w:hanging="567"/>
        <w:rPr>
          <w:rFonts w:ascii="Arial" w:hAnsi="Arial" w:cs="Arial"/>
          <w:sz w:val="24"/>
          <w:szCs w:val="24"/>
        </w:rPr>
      </w:pPr>
      <w:r w:rsidRPr="008E26EC">
        <w:rPr>
          <w:rFonts w:ascii="Arial" w:hAnsi="Arial" w:cs="Arial"/>
          <w:sz w:val="24"/>
          <w:szCs w:val="24"/>
        </w:rPr>
        <w:t xml:space="preserve">An equality impact assessment ‘initial screening’ has been carried out which determined there to be no negative impact </w:t>
      </w:r>
      <w:r>
        <w:rPr>
          <w:rFonts w:ascii="Arial" w:hAnsi="Arial" w:cs="Arial"/>
          <w:sz w:val="24"/>
          <w:szCs w:val="24"/>
        </w:rPr>
        <w:t xml:space="preserve">specific to those with protected </w:t>
      </w:r>
      <w:r w:rsidRPr="008E26EC">
        <w:rPr>
          <w:rFonts w:ascii="Arial" w:hAnsi="Arial" w:cs="Arial"/>
          <w:sz w:val="24"/>
          <w:szCs w:val="24"/>
        </w:rPr>
        <w:t>characteristic</w:t>
      </w:r>
      <w:r>
        <w:rPr>
          <w:rFonts w:ascii="Arial" w:hAnsi="Arial" w:cs="Arial"/>
          <w:sz w:val="24"/>
          <w:szCs w:val="24"/>
        </w:rPr>
        <w:t>s</w:t>
      </w:r>
    </w:p>
    <w:p w14:paraId="4B9C1370" w14:textId="77777777" w:rsidR="009A135E" w:rsidRPr="00B962CE" w:rsidRDefault="009A135E" w:rsidP="008E26EC">
      <w:pPr>
        <w:pStyle w:val="ListParagraph"/>
        <w:tabs>
          <w:tab w:val="left" w:pos="2400"/>
        </w:tabs>
        <w:ind w:left="567" w:hanging="567"/>
        <w:rPr>
          <w:rFonts w:ascii="Arial" w:hAnsi="Arial" w:cs="Arial"/>
          <w:b/>
          <w:sz w:val="24"/>
          <w:szCs w:val="24"/>
        </w:rPr>
      </w:pPr>
    </w:p>
    <w:p w14:paraId="298A381E" w14:textId="1151FF4B" w:rsidR="00BB0271" w:rsidRPr="00C00BD3" w:rsidRDefault="00E33F07" w:rsidP="008E26EC">
      <w:pPr>
        <w:pStyle w:val="ListParagraph"/>
        <w:numPr>
          <w:ilvl w:val="0"/>
          <w:numId w:val="1"/>
        </w:numPr>
        <w:tabs>
          <w:tab w:val="left" w:pos="2400"/>
        </w:tabs>
        <w:ind w:left="567" w:hanging="567"/>
        <w:rPr>
          <w:rFonts w:ascii="Arial" w:hAnsi="Arial" w:cs="Arial"/>
          <w:b/>
          <w:sz w:val="28"/>
          <w:szCs w:val="28"/>
        </w:rPr>
      </w:pPr>
      <w:r w:rsidRPr="00C00BD3">
        <w:rPr>
          <w:rFonts w:ascii="Arial" w:hAnsi="Arial" w:cs="Arial"/>
          <w:b/>
          <w:sz w:val="28"/>
          <w:szCs w:val="28"/>
        </w:rPr>
        <w:t xml:space="preserve"> </w:t>
      </w:r>
      <w:r w:rsidR="00BB0271" w:rsidRPr="00C00BD3">
        <w:rPr>
          <w:rFonts w:ascii="Arial" w:hAnsi="Arial" w:cs="Arial"/>
          <w:b/>
          <w:sz w:val="28"/>
          <w:szCs w:val="28"/>
        </w:rPr>
        <w:t>Consultation</w:t>
      </w:r>
    </w:p>
    <w:p w14:paraId="11BB9A2B" w14:textId="0481C219" w:rsidR="00BB0271" w:rsidRPr="00C00BD3" w:rsidRDefault="00DD43E5" w:rsidP="00C00BD3">
      <w:pPr>
        <w:tabs>
          <w:tab w:val="left" w:pos="2400"/>
        </w:tabs>
        <w:ind w:left="567" w:hanging="567"/>
        <w:rPr>
          <w:rFonts w:ascii="Arial" w:hAnsi="Arial" w:cs="Arial"/>
          <w:bCs/>
          <w:sz w:val="24"/>
          <w:szCs w:val="24"/>
        </w:rPr>
      </w:pPr>
      <w:r>
        <w:rPr>
          <w:rFonts w:ascii="Arial" w:hAnsi="Arial" w:cs="Arial"/>
          <w:bCs/>
          <w:sz w:val="24"/>
          <w:szCs w:val="24"/>
        </w:rPr>
        <w:t xml:space="preserve">3.1    </w:t>
      </w:r>
      <w:r w:rsidR="00BB0271" w:rsidRPr="00C00BD3">
        <w:rPr>
          <w:rFonts w:ascii="Arial" w:hAnsi="Arial" w:cs="Arial"/>
          <w:bCs/>
          <w:sz w:val="24"/>
          <w:szCs w:val="24"/>
        </w:rPr>
        <w:t xml:space="preserve">This policy has not </w:t>
      </w:r>
      <w:r w:rsidR="00BB0271">
        <w:rPr>
          <w:rFonts w:ascii="Arial" w:hAnsi="Arial" w:cs="Arial"/>
          <w:bCs/>
          <w:sz w:val="24"/>
          <w:szCs w:val="24"/>
        </w:rPr>
        <w:t>involved resident consultation as it was not selected by the Hexagon Resident Advisory Group and as it is largely legally determined, no additional consultation has been carried out.</w:t>
      </w:r>
    </w:p>
    <w:p w14:paraId="128A905D" w14:textId="77777777" w:rsidR="005B5BB2" w:rsidRPr="003C3177" w:rsidRDefault="005B5BB2" w:rsidP="005B5BB2">
      <w:pPr>
        <w:pStyle w:val="ListParagraph"/>
        <w:tabs>
          <w:tab w:val="left" w:pos="2400"/>
        </w:tabs>
        <w:ind w:left="567"/>
        <w:rPr>
          <w:rFonts w:ascii="Arial" w:hAnsi="Arial" w:cs="Arial"/>
          <w:b/>
          <w:sz w:val="24"/>
          <w:szCs w:val="24"/>
        </w:rPr>
      </w:pPr>
    </w:p>
    <w:p w14:paraId="7A012DD6" w14:textId="63B0601B" w:rsidR="00873A20" w:rsidRPr="00C00BD3" w:rsidRDefault="004E734F" w:rsidP="00873A20">
      <w:pPr>
        <w:pStyle w:val="ListParagraph"/>
        <w:numPr>
          <w:ilvl w:val="0"/>
          <w:numId w:val="1"/>
        </w:numPr>
        <w:tabs>
          <w:tab w:val="left" w:pos="2400"/>
        </w:tabs>
        <w:ind w:left="567" w:hanging="567"/>
        <w:rPr>
          <w:rFonts w:ascii="Arial" w:hAnsi="Arial" w:cs="Arial"/>
          <w:b/>
          <w:sz w:val="28"/>
          <w:szCs w:val="28"/>
        </w:rPr>
      </w:pPr>
      <w:r w:rsidRPr="00C00BD3">
        <w:rPr>
          <w:rFonts w:ascii="Arial" w:hAnsi="Arial" w:cs="Arial"/>
          <w:b/>
          <w:sz w:val="28"/>
          <w:szCs w:val="28"/>
        </w:rPr>
        <w:t>Policy</w:t>
      </w:r>
      <w:r w:rsidR="00BB0271" w:rsidRPr="00C00BD3">
        <w:rPr>
          <w:rFonts w:ascii="Arial" w:hAnsi="Arial" w:cs="Arial"/>
          <w:b/>
          <w:sz w:val="28"/>
          <w:szCs w:val="28"/>
        </w:rPr>
        <w:t xml:space="preserve"> Statement</w:t>
      </w:r>
    </w:p>
    <w:p w14:paraId="1A4871FE" w14:textId="77777777" w:rsidR="009E1D42" w:rsidRPr="009E1D42" w:rsidRDefault="009E1D42" w:rsidP="009E1D42">
      <w:pPr>
        <w:pStyle w:val="ListParagraph"/>
        <w:tabs>
          <w:tab w:val="left" w:pos="2400"/>
        </w:tabs>
        <w:ind w:left="567"/>
        <w:rPr>
          <w:rFonts w:ascii="Arial" w:hAnsi="Arial" w:cs="Arial"/>
          <w:b/>
          <w:sz w:val="24"/>
          <w:szCs w:val="24"/>
        </w:rPr>
      </w:pPr>
    </w:p>
    <w:p w14:paraId="6849E26E" w14:textId="77777777" w:rsidR="00BF383C" w:rsidRPr="00F27388" w:rsidRDefault="00BF383C" w:rsidP="008017C7">
      <w:pPr>
        <w:pStyle w:val="ListParagraph"/>
        <w:numPr>
          <w:ilvl w:val="1"/>
          <w:numId w:val="1"/>
        </w:numPr>
        <w:tabs>
          <w:tab w:val="left" w:pos="2400"/>
        </w:tabs>
        <w:ind w:left="567" w:hanging="567"/>
        <w:rPr>
          <w:rFonts w:ascii="Arial" w:hAnsi="Arial" w:cs="Arial"/>
          <w:b/>
          <w:sz w:val="24"/>
          <w:szCs w:val="24"/>
        </w:rPr>
      </w:pPr>
      <w:r>
        <w:rPr>
          <w:rFonts w:ascii="Arial" w:hAnsi="Arial" w:cs="Arial"/>
          <w:sz w:val="24"/>
          <w:szCs w:val="24"/>
        </w:rPr>
        <w:t xml:space="preserve">The tenancy agreement details the succession rights </w:t>
      </w:r>
      <w:r w:rsidR="00132E0F">
        <w:rPr>
          <w:rFonts w:ascii="Arial" w:hAnsi="Arial" w:cs="Arial"/>
          <w:sz w:val="24"/>
          <w:szCs w:val="24"/>
        </w:rPr>
        <w:t>f</w:t>
      </w:r>
      <w:r>
        <w:rPr>
          <w:rFonts w:ascii="Arial" w:hAnsi="Arial" w:cs="Arial"/>
          <w:sz w:val="24"/>
          <w:szCs w:val="24"/>
        </w:rPr>
        <w:t>or each tenancy and potential successor</w:t>
      </w:r>
      <w:r w:rsidR="00132E0F">
        <w:rPr>
          <w:rFonts w:ascii="Arial" w:hAnsi="Arial" w:cs="Arial"/>
          <w:sz w:val="24"/>
          <w:szCs w:val="24"/>
        </w:rPr>
        <w:t xml:space="preserve"> – this is the first reference point for all successions and supersedes the policy </w:t>
      </w:r>
    </w:p>
    <w:p w14:paraId="758088E6" w14:textId="77777777" w:rsidR="00F27388" w:rsidRPr="00132E0F" w:rsidRDefault="00F27388" w:rsidP="00F27388">
      <w:pPr>
        <w:pStyle w:val="ListParagraph"/>
        <w:tabs>
          <w:tab w:val="left" w:pos="2400"/>
        </w:tabs>
        <w:ind w:left="567"/>
        <w:rPr>
          <w:rFonts w:ascii="Arial" w:hAnsi="Arial" w:cs="Arial"/>
          <w:b/>
          <w:sz w:val="24"/>
          <w:szCs w:val="24"/>
        </w:rPr>
      </w:pPr>
    </w:p>
    <w:p w14:paraId="5F10D1D2" w14:textId="77777777" w:rsidR="00B60419" w:rsidRPr="00B60419" w:rsidRDefault="00132E0F" w:rsidP="008017C7">
      <w:pPr>
        <w:pStyle w:val="ListParagraph"/>
        <w:numPr>
          <w:ilvl w:val="1"/>
          <w:numId w:val="1"/>
        </w:numPr>
        <w:tabs>
          <w:tab w:val="left" w:pos="2400"/>
        </w:tabs>
        <w:ind w:left="567" w:hanging="567"/>
        <w:rPr>
          <w:rFonts w:ascii="Arial" w:hAnsi="Arial" w:cs="Arial"/>
          <w:b/>
          <w:sz w:val="24"/>
          <w:szCs w:val="24"/>
        </w:rPr>
      </w:pPr>
      <w:r>
        <w:rPr>
          <w:rFonts w:ascii="Arial" w:hAnsi="Arial" w:cs="Arial"/>
          <w:sz w:val="24"/>
          <w:szCs w:val="24"/>
        </w:rPr>
        <w:t xml:space="preserve">If the property is unsuitable, the successor may </w:t>
      </w:r>
      <w:r w:rsidR="00B60419">
        <w:rPr>
          <w:rFonts w:ascii="Arial" w:hAnsi="Arial" w:cs="Arial"/>
          <w:sz w:val="24"/>
          <w:szCs w:val="24"/>
        </w:rPr>
        <w:t>be asked to move to alternative accommodation</w:t>
      </w:r>
      <w:r>
        <w:rPr>
          <w:rFonts w:ascii="Arial" w:hAnsi="Arial" w:cs="Arial"/>
          <w:sz w:val="24"/>
          <w:szCs w:val="24"/>
        </w:rPr>
        <w:t xml:space="preserve">, even if they have a statutory right to succession </w:t>
      </w:r>
    </w:p>
    <w:p w14:paraId="234E3F48" w14:textId="77777777" w:rsidR="00B60419" w:rsidRPr="00B60419" w:rsidRDefault="00B60419" w:rsidP="00B60419">
      <w:pPr>
        <w:pStyle w:val="ListParagraph"/>
        <w:tabs>
          <w:tab w:val="left" w:pos="2400"/>
        </w:tabs>
        <w:ind w:left="567"/>
        <w:rPr>
          <w:rFonts w:ascii="Arial" w:hAnsi="Arial" w:cs="Arial"/>
          <w:b/>
          <w:sz w:val="24"/>
          <w:szCs w:val="24"/>
        </w:rPr>
      </w:pPr>
    </w:p>
    <w:p w14:paraId="0BDE6668" w14:textId="77777777" w:rsidR="00B60419" w:rsidRPr="00B60419" w:rsidRDefault="00B60419" w:rsidP="00B60419">
      <w:pPr>
        <w:pStyle w:val="ListParagraph"/>
        <w:numPr>
          <w:ilvl w:val="1"/>
          <w:numId w:val="1"/>
        </w:numPr>
        <w:tabs>
          <w:tab w:val="left" w:pos="2400"/>
        </w:tabs>
        <w:ind w:left="567" w:hanging="567"/>
        <w:rPr>
          <w:rFonts w:ascii="Arial" w:hAnsi="Arial" w:cs="Arial"/>
          <w:b/>
          <w:sz w:val="24"/>
          <w:szCs w:val="24"/>
        </w:rPr>
      </w:pPr>
      <w:r>
        <w:rPr>
          <w:rFonts w:ascii="Arial" w:hAnsi="Arial" w:cs="Arial"/>
          <w:sz w:val="24"/>
          <w:szCs w:val="24"/>
        </w:rPr>
        <w:t>T</w:t>
      </w:r>
      <w:r w:rsidR="00132E0F">
        <w:rPr>
          <w:rFonts w:ascii="Arial" w:hAnsi="Arial" w:cs="Arial"/>
          <w:sz w:val="24"/>
          <w:szCs w:val="24"/>
        </w:rPr>
        <w:t xml:space="preserve">he following </w:t>
      </w:r>
      <w:r>
        <w:rPr>
          <w:rFonts w:ascii="Arial" w:hAnsi="Arial" w:cs="Arial"/>
          <w:sz w:val="24"/>
          <w:szCs w:val="24"/>
        </w:rPr>
        <w:t xml:space="preserve">are examples of unsuitable </w:t>
      </w:r>
      <w:proofErr w:type="gramStart"/>
      <w:r>
        <w:rPr>
          <w:rFonts w:ascii="Arial" w:hAnsi="Arial" w:cs="Arial"/>
          <w:sz w:val="24"/>
          <w:szCs w:val="24"/>
        </w:rPr>
        <w:t>properties,</w:t>
      </w:r>
      <w:proofErr w:type="gramEnd"/>
      <w:r>
        <w:rPr>
          <w:rFonts w:ascii="Arial" w:hAnsi="Arial" w:cs="Arial"/>
          <w:sz w:val="24"/>
          <w:szCs w:val="24"/>
        </w:rPr>
        <w:t xml:space="preserve"> however this list is not exhaustive and Hexagon may consider each case where we reasonably believe the property to be unsuitable: </w:t>
      </w:r>
    </w:p>
    <w:p w14:paraId="6E0B4E90" w14:textId="77777777" w:rsidR="00B60419" w:rsidRPr="00B60419" w:rsidRDefault="00B60419" w:rsidP="00B60419">
      <w:pPr>
        <w:pStyle w:val="ListParagraph"/>
        <w:tabs>
          <w:tab w:val="left" w:pos="2400"/>
        </w:tabs>
        <w:ind w:left="2160"/>
        <w:rPr>
          <w:rFonts w:ascii="Arial" w:hAnsi="Arial" w:cs="Arial"/>
          <w:b/>
          <w:sz w:val="24"/>
          <w:szCs w:val="24"/>
        </w:rPr>
      </w:pPr>
    </w:p>
    <w:p w14:paraId="42D1DFA6" w14:textId="77777777" w:rsidR="00B60419" w:rsidRPr="00B60419" w:rsidRDefault="00B60419" w:rsidP="00B60419">
      <w:pPr>
        <w:pStyle w:val="ListParagraph"/>
        <w:numPr>
          <w:ilvl w:val="2"/>
          <w:numId w:val="1"/>
        </w:numPr>
        <w:tabs>
          <w:tab w:val="left" w:pos="2400"/>
        </w:tabs>
        <w:rPr>
          <w:rFonts w:ascii="Arial" w:hAnsi="Arial" w:cs="Arial"/>
          <w:b/>
          <w:sz w:val="24"/>
          <w:szCs w:val="24"/>
        </w:rPr>
      </w:pPr>
      <w:r>
        <w:rPr>
          <w:rFonts w:ascii="Arial" w:hAnsi="Arial" w:cs="Arial"/>
          <w:sz w:val="24"/>
          <w:szCs w:val="24"/>
        </w:rPr>
        <w:t>I</w:t>
      </w:r>
      <w:r w:rsidRPr="00B60419">
        <w:rPr>
          <w:rFonts w:ascii="Arial" w:hAnsi="Arial" w:cs="Arial"/>
          <w:sz w:val="24"/>
          <w:szCs w:val="24"/>
        </w:rPr>
        <w:t>f the property would become under-occupied or overcrowded</w:t>
      </w:r>
    </w:p>
    <w:p w14:paraId="087DCE88" w14:textId="77777777" w:rsidR="00B60419" w:rsidRPr="00B60419" w:rsidRDefault="00B60419" w:rsidP="00B60419">
      <w:pPr>
        <w:pStyle w:val="ListParagraph"/>
        <w:numPr>
          <w:ilvl w:val="2"/>
          <w:numId w:val="1"/>
        </w:numPr>
        <w:tabs>
          <w:tab w:val="left" w:pos="2400"/>
        </w:tabs>
        <w:rPr>
          <w:rFonts w:ascii="Arial" w:hAnsi="Arial" w:cs="Arial"/>
          <w:b/>
          <w:sz w:val="24"/>
          <w:szCs w:val="24"/>
        </w:rPr>
      </w:pPr>
      <w:r>
        <w:rPr>
          <w:rFonts w:ascii="Arial" w:hAnsi="Arial" w:cs="Arial"/>
          <w:sz w:val="24"/>
          <w:szCs w:val="24"/>
        </w:rPr>
        <w:t>The property has major adaptations that the successor will not need</w:t>
      </w:r>
    </w:p>
    <w:p w14:paraId="5D68E81C" w14:textId="77777777" w:rsidR="00B60419" w:rsidRPr="00B60419" w:rsidRDefault="00B60419" w:rsidP="00B60419">
      <w:pPr>
        <w:pStyle w:val="ListParagraph"/>
        <w:numPr>
          <w:ilvl w:val="2"/>
          <w:numId w:val="1"/>
        </w:numPr>
        <w:tabs>
          <w:tab w:val="left" w:pos="2400"/>
        </w:tabs>
        <w:rPr>
          <w:rFonts w:ascii="Arial" w:hAnsi="Arial" w:cs="Arial"/>
          <w:b/>
          <w:sz w:val="24"/>
          <w:szCs w:val="24"/>
        </w:rPr>
      </w:pPr>
      <w:r>
        <w:rPr>
          <w:rFonts w:ascii="Arial" w:hAnsi="Arial" w:cs="Arial"/>
          <w:sz w:val="24"/>
          <w:szCs w:val="24"/>
        </w:rPr>
        <w:t>The property is in a scheme for a specific user group that the successor does not belong to</w:t>
      </w:r>
    </w:p>
    <w:p w14:paraId="1C9D5690" w14:textId="77777777" w:rsidR="00B60419" w:rsidRPr="00BF383C" w:rsidRDefault="00B60419" w:rsidP="00B60419">
      <w:pPr>
        <w:pStyle w:val="ListParagraph"/>
        <w:tabs>
          <w:tab w:val="left" w:pos="2400"/>
        </w:tabs>
        <w:ind w:left="2160"/>
        <w:rPr>
          <w:rFonts w:ascii="Arial" w:hAnsi="Arial" w:cs="Arial"/>
          <w:b/>
          <w:sz w:val="24"/>
          <w:szCs w:val="24"/>
        </w:rPr>
      </w:pPr>
    </w:p>
    <w:p w14:paraId="5B0E845D" w14:textId="437C7662" w:rsidR="00E75C04" w:rsidRPr="008017C7" w:rsidRDefault="00632EDF" w:rsidP="008017C7">
      <w:pPr>
        <w:pStyle w:val="ListParagraph"/>
        <w:numPr>
          <w:ilvl w:val="1"/>
          <w:numId w:val="1"/>
        </w:numPr>
        <w:tabs>
          <w:tab w:val="left" w:pos="2400"/>
        </w:tabs>
        <w:ind w:left="567" w:hanging="567"/>
        <w:rPr>
          <w:rFonts w:ascii="Arial" w:hAnsi="Arial" w:cs="Arial"/>
          <w:b/>
          <w:sz w:val="24"/>
          <w:szCs w:val="24"/>
        </w:rPr>
      </w:pPr>
      <w:r>
        <w:rPr>
          <w:rFonts w:ascii="Arial" w:hAnsi="Arial" w:cs="Arial"/>
          <w:sz w:val="24"/>
          <w:szCs w:val="24"/>
        </w:rPr>
        <w:t>Secure tenancies</w:t>
      </w:r>
      <w:r w:rsidR="008017C7">
        <w:rPr>
          <w:rFonts w:ascii="Arial" w:hAnsi="Arial" w:cs="Arial"/>
          <w:sz w:val="24"/>
          <w:szCs w:val="24"/>
        </w:rPr>
        <w:t>, signed before April 2012, have the statutory right to one succession by a spouse or “other family member”</w:t>
      </w:r>
      <w:r w:rsidR="00F27388">
        <w:rPr>
          <w:rFonts w:ascii="Arial" w:hAnsi="Arial" w:cs="Arial"/>
          <w:sz w:val="24"/>
          <w:szCs w:val="24"/>
        </w:rPr>
        <w:t xml:space="preserve"> (see </w:t>
      </w:r>
      <w:r w:rsidR="000E22E2">
        <w:rPr>
          <w:rFonts w:ascii="Arial" w:hAnsi="Arial" w:cs="Arial"/>
          <w:sz w:val="24"/>
          <w:szCs w:val="24"/>
        </w:rPr>
        <w:t>4</w:t>
      </w:r>
      <w:r w:rsidR="00F27388">
        <w:rPr>
          <w:rFonts w:ascii="Arial" w:hAnsi="Arial" w:cs="Arial"/>
          <w:sz w:val="24"/>
          <w:szCs w:val="24"/>
        </w:rPr>
        <w:t>.5</w:t>
      </w:r>
      <w:r w:rsidR="00AA6FF4">
        <w:rPr>
          <w:rFonts w:ascii="Arial" w:hAnsi="Arial" w:cs="Arial"/>
          <w:sz w:val="24"/>
          <w:szCs w:val="24"/>
        </w:rPr>
        <w:t>)</w:t>
      </w:r>
      <w:r w:rsidR="008017C7">
        <w:rPr>
          <w:rFonts w:ascii="Arial" w:hAnsi="Arial" w:cs="Arial"/>
          <w:sz w:val="24"/>
          <w:szCs w:val="24"/>
        </w:rPr>
        <w:t xml:space="preserve"> as per the Housing Act 1985</w:t>
      </w:r>
    </w:p>
    <w:p w14:paraId="56F8CA83" w14:textId="77777777" w:rsidR="00BF383C" w:rsidRPr="00BF383C" w:rsidRDefault="00BF383C" w:rsidP="00BF383C">
      <w:pPr>
        <w:pStyle w:val="ListParagraph"/>
        <w:tabs>
          <w:tab w:val="left" w:pos="2400"/>
        </w:tabs>
        <w:ind w:left="567"/>
        <w:rPr>
          <w:rFonts w:ascii="Arial" w:hAnsi="Arial" w:cs="Arial"/>
          <w:b/>
          <w:sz w:val="24"/>
          <w:szCs w:val="24"/>
        </w:rPr>
      </w:pPr>
    </w:p>
    <w:p w14:paraId="217DDE8E" w14:textId="0063E6FF" w:rsidR="008017C7" w:rsidRPr="008017C7" w:rsidRDefault="00F27388" w:rsidP="008017C7">
      <w:pPr>
        <w:pStyle w:val="ListParagraph"/>
        <w:numPr>
          <w:ilvl w:val="1"/>
          <w:numId w:val="1"/>
        </w:numPr>
        <w:tabs>
          <w:tab w:val="left" w:pos="2400"/>
        </w:tabs>
        <w:ind w:left="567" w:hanging="567"/>
        <w:rPr>
          <w:rFonts w:ascii="Arial" w:hAnsi="Arial" w:cs="Arial"/>
          <w:b/>
          <w:sz w:val="24"/>
          <w:szCs w:val="24"/>
        </w:rPr>
      </w:pPr>
      <w:r>
        <w:rPr>
          <w:rFonts w:ascii="Arial" w:hAnsi="Arial" w:cs="Arial"/>
          <w:sz w:val="24"/>
          <w:szCs w:val="24"/>
        </w:rPr>
        <w:t xml:space="preserve">For secure tenancies as per </w:t>
      </w:r>
      <w:r w:rsidR="00BB0271">
        <w:rPr>
          <w:rFonts w:ascii="Arial" w:hAnsi="Arial" w:cs="Arial"/>
          <w:sz w:val="24"/>
          <w:szCs w:val="24"/>
        </w:rPr>
        <w:t>4</w:t>
      </w:r>
      <w:r>
        <w:rPr>
          <w:rFonts w:ascii="Arial" w:hAnsi="Arial" w:cs="Arial"/>
          <w:sz w:val="24"/>
          <w:szCs w:val="24"/>
        </w:rPr>
        <w:t>.4</w:t>
      </w:r>
      <w:r w:rsidR="00132E0F">
        <w:rPr>
          <w:rFonts w:ascii="Arial" w:hAnsi="Arial" w:cs="Arial"/>
          <w:sz w:val="24"/>
          <w:szCs w:val="24"/>
        </w:rPr>
        <w:t>, o</w:t>
      </w:r>
      <w:r w:rsidR="008017C7">
        <w:rPr>
          <w:rFonts w:ascii="Arial" w:hAnsi="Arial" w:cs="Arial"/>
          <w:sz w:val="24"/>
          <w:szCs w:val="24"/>
        </w:rPr>
        <w:t>ther family members</w:t>
      </w:r>
      <w:r w:rsidR="00132E0F">
        <w:rPr>
          <w:rFonts w:ascii="Arial" w:hAnsi="Arial" w:cs="Arial"/>
          <w:sz w:val="24"/>
          <w:szCs w:val="24"/>
        </w:rPr>
        <w:t xml:space="preserve"> can only claim a succession if there is no spouse and must prove they have lived at the property for 12 months – eligible relations </w:t>
      </w:r>
      <w:r w:rsidR="008017C7">
        <w:rPr>
          <w:rFonts w:ascii="Arial" w:hAnsi="Arial" w:cs="Arial"/>
          <w:sz w:val="24"/>
          <w:szCs w:val="24"/>
        </w:rPr>
        <w:t xml:space="preserve">include parent, grandparent, child, grand child, brother, sister, uncle, aunt, nephew or niece; relationships through marriage, step relationships and children of common law relationships are </w:t>
      </w:r>
      <w:r w:rsidR="00632EDF">
        <w:rPr>
          <w:rFonts w:ascii="Arial" w:hAnsi="Arial" w:cs="Arial"/>
          <w:sz w:val="24"/>
          <w:szCs w:val="24"/>
        </w:rPr>
        <w:t xml:space="preserve">all </w:t>
      </w:r>
      <w:r w:rsidR="008017C7">
        <w:rPr>
          <w:rFonts w:ascii="Arial" w:hAnsi="Arial" w:cs="Arial"/>
          <w:sz w:val="24"/>
          <w:szCs w:val="24"/>
        </w:rPr>
        <w:t>considered the same as blood relationships</w:t>
      </w:r>
    </w:p>
    <w:p w14:paraId="74CFB4B1" w14:textId="77777777" w:rsidR="008017C7" w:rsidRPr="008017C7" w:rsidRDefault="008017C7" w:rsidP="008017C7">
      <w:pPr>
        <w:pStyle w:val="ListParagraph"/>
        <w:tabs>
          <w:tab w:val="left" w:pos="2400"/>
        </w:tabs>
        <w:ind w:left="567"/>
        <w:rPr>
          <w:rFonts w:ascii="Arial" w:hAnsi="Arial" w:cs="Arial"/>
          <w:b/>
          <w:sz w:val="24"/>
          <w:szCs w:val="24"/>
        </w:rPr>
      </w:pPr>
    </w:p>
    <w:p w14:paraId="5F53D299" w14:textId="63089300" w:rsidR="008017C7" w:rsidRPr="00973163" w:rsidRDefault="00973163" w:rsidP="008017C7">
      <w:pPr>
        <w:pStyle w:val="ListParagraph"/>
        <w:numPr>
          <w:ilvl w:val="1"/>
          <w:numId w:val="1"/>
        </w:numPr>
        <w:tabs>
          <w:tab w:val="left" w:pos="2400"/>
        </w:tabs>
        <w:ind w:left="567" w:hanging="567"/>
        <w:rPr>
          <w:rFonts w:ascii="Arial" w:hAnsi="Arial" w:cs="Arial"/>
          <w:b/>
          <w:sz w:val="24"/>
          <w:szCs w:val="24"/>
        </w:rPr>
      </w:pPr>
      <w:r>
        <w:rPr>
          <w:rFonts w:ascii="Arial" w:hAnsi="Arial" w:cs="Arial"/>
          <w:sz w:val="24"/>
          <w:szCs w:val="24"/>
        </w:rPr>
        <w:t xml:space="preserve">Secure tenancies, </w:t>
      </w:r>
      <w:r w:rsidR="008017C7">
        <w:rPr>
          <w:rFonts w:ascii="Arial" w:hAnsi="Arial" w:cs="Arial"/>
          <w:sz w:val="24"/>
          <w:szCs w:val="24"/>
        </w:rPr>
        <w:t>signed after April 2012</w:t>
      </w:r>
      <w:r>
        <w:rPr>
          <w:rFonts w:ascii="Arial" w:hAnsi="Arial" w:cs="Arial"/>
          <w:sz w:val="24"/>
          <w:szCs w:val="24"/>
        </w:rPr>
        <w:t>,</w:t>
      </w:r>
      <w:r w:rsidR="00AA6FF4">
        <w:rPr>
          <w:rFonts w:ascii="Arial" w:hAnsi="Arial" w:cs="Arial"/>
          <w:sz w:val="24"/>
          <w:szCs w:val="24"/>
        </w:rPr>
        <w:t xml:space="preserve"> </w:t>
      </w:r>
      <w:r w:rsidR="008017C7">
        <w:rPr>
          <w:rFonts w:ascii="Arial" w:hAnsi="Arial" w:cs="Arial"/>
          <w:sz w:val="24"/>
          <w:szCs w:val="24"/>
        </w:rPr>
        <w:t>have the statutory right to one successi</w:t>
      </w:r>
      <w:r>
        <w:rPr>
          <w:rFonts w:ascii="Arial" w:hAnsi="Arial" w:cs="Arial"/>
          <w:sz w:val="24"/>
          <w:szCs w:val="24"/>
        </w:rPr>
        <w:t xml:space="preserve">on by a spouse or civil partner, they must have been </w:t>
      </w:r>
      <w:r w:rsidR="00AA6FF4">
        <w:rPr>
          <w:rFonts w:ascii="Arial" w:hAnsi="Arial" w:cs="Arial"/>
          <w:sz w:val="24"/>
          <w:szCs w:val="24"/>
        </w:rPr>
        <w:t xml:space="preserve">living at the property as </w:t>
      </w:r>
      <w:r w:rsidR="008017C7">
        <w:rPr>
          <w:rFonts w:ascii="Arial" w:hAnsi="Arial" w:cs="Arial"/>
          <w:sz w:val="24"/>
          <w:szCs w:val="24"/>
        </w:rPr>
        <w:t>their only or principal home at the time of the tenant’s death</w:t>
      </w:r>
      <w:r w:rsidR="00AA6FF4">
        <w:rPr>
          <w:rFonts w:ascii="Arial" w:hAnsi="Arial" w:cs="Arial"/>
          <w:sz w:val="24"/>
          <w:szCs w:val="24"/>
        </w:rPr>
        <w:t>, as per the Localism Act 2011</w:t>
      </w:r>
      <w:r w:rsidR="009517AD">
        <w:rPr>
          <w:rFonts w:ascii="Arial" w:hAnsi="Arial" w:cs="Arial"/>
          <w:sz w:val="24"/>
          <w:szCs w:val="24"/>
        </w:rPr>
        <w:t xml:space="preserve"> amendments</w:t>
      </w:r>
      <w:r w:rsidR="00AA6FF4">
        <w:rPr>
          <w:rFonts w:ascii="Arial" w:hAnsi="Arial" w:cs="Arial"/>
          <w:sz w:val="24"/>
          <w:szCs w:val="24"/>
        </w:rPr>
        <w:t xml:space="preserve"> to the Housing Act 1985</w:t>
      </w:r>
    </w:p>
    <w:p w14:paraId="2DC331CB" w14:textId="77777777" w:rsidR="00973163" w:rsidRPr="00973163" w:rsidRDefault="00973163" w:rsidP="00973163">
      <w:pPr>
        <w:pStyle w:val="ListParagraph"/>
        <w:rPr>
          <w:rFonts w:ascii="Arial" w:hAnsi="Arial" w:cs="Arial"/>
          <w:b/>
          <w:sz w:val="24"/>
          <w:szCs w:val="24"/>
        </w:rPr>
      </w:pPr>
    </w:p>
    <w:p w14:paraId="3459F60A" w14:textId="13A1696E" w:rsidR="00973163" w:rsidRPr="00AA6FF4" w:rsidRDefault="00F27388" w:rsidP="008017C7">
      <w:pPr>
        <w:pStyle w:val="ListParagraph"/>
        <w:numPr>
          <w:ilvl w:val="1"/>
          <w:numId w:val="1"/>
        </w:numPr>
        <w:tabs>
          <w:tab w:val="left" w:pos="2400"/>
        </w:tabs>
        <w:ind w:left="567" w:hanging="567"/>
        <w:rPr>
          <w:rFonts w:ascii="Arial" w:hAnsi="Arial" w:cs="Arial"/>
          <w:b/>
          <w:sz w:val="24"/>
          <w:szCs w:val="24"/>
        </w:rPr>
      </w:pPr>
      <w:r>
        <w:rPr>
          <w:rFonts w:ascii="Arial" w:hAnsi="Arial" w:cs="Arial"/>
          <w:sz w:val="24"/>
          <w:szCs w:val="24"/>
        </w:rPr>
        <w:lastRenderedPageBreak/>
        <w:t xml:space="preserve">For secure tenancies as per </w:t>
      </w:r>
      <w:r w:rsidR="00BB0271">
        <w:rPr>
          <w:rFonts w:ascii="Arial" w:hAnsi="Arial" w:cs="Arial"/>
          <w:sz w:val="24"/>
          <w:szCs w:val="24"/>
        </w:rPr>
        <w:t>4</w:t>
      </w:r>
      <w:r>
        <w:rPr>
          <w:rFonts w:ascii="Arial" w:hAnsi="Arial" w:cs="Arial"/>
          <w:sz w:val="24"/>
          <w:szCs w:val="24"/>
        </w:rPr>
        <w:t>.6</w:t>
      </w:r>
      <w:r w:rsidR="00132E0F">
        <w:rPr>
          <w:rFonts w:ascii="Arial" w:hAnsi="Arial" w:cs="Arial"/>
          <w:sz w:val="24"/>
          <w:szCs w:val="24"/>
        </w:rPr>
        <w:t>, o</w:t>
      </w:r>
      <w:r w:rsidR="00BF383C">
        <w:rPr>
          <w:rFonts w:ascii="Arial" w:hAnsi="Arial" w:cs="Arial"/>
          <w:sz w:val="24"/>
          <w:szCs w:val="24"/>
        </w:rPr>
        <w:t xml:space="preserve">ther family members are only </w:t>
      </w:r>
      <w:r w:rsidR="00132E0F">
        <w:rPr>
          <w:rFonts w:ascii="Arial" w:hAnsi="Arial" w:cs="Arial"/>
          <w:sz w:val="24"/>
          <w:szCs w:val="24"/>
        </w:rPr>
        <w:t>eligible</w:t>
      </w:r>
      <w:r w:rsidR="00BF383C">
        <w:rPr>
          <w:rFonts w:ascii="Arial" w:hAnsi="Arial" w:cs="Arial"/>
          <w:sz w:val="24"/>
          <w:szCs w:val="24"/>
        </w:rPr>
        <w:t xml:space="preserve"> if the</w:t>
      </w:r>
      <w:r w:rsidR="00132E0F">
        <w:rPr>
          <w:rFonts w:ascii="Arial" w:hAnsi="Arial" w:cs="Arial"/>
          <w:sz w:val="24"/>
          <w:szCs w:val="24"/>
        </w:rPr>
        <w:t>ir tenancy agreement states so</w:t>
      </w:r>
    </w:p>
    <w:p w14:paraId="7A40A76F" w14:textId="77777777" w:rsidR="00AA6FF4" w:rsidRPr="00AA6FF4" w:rsidRDefault="00AA6FF4" w:rsidP="00AA6FF4">
      <w:pPr>
        <w:pStyle w:val="ListParagraph"/>
        <w:rPr>
          <w:rFonts w:ascii="Arial" w:hAnsi="Arial" w:cs="Arial"/>
          <w:b/>
          <w:sz w:val="24"/>
          <w:szCs w:val="24"/>
        </w:rPr>
      </w:pPr>
    </w:p>
    <w:p w14:paraId="1D644A4F" w14:textId="77777777" w:rsidR="00AA6FF4" w:rsidRDefault="00973163" w:rsidP="00AA6FF4">
      <w:pPr>
        <w:pStyle w:val="ListParagraph"/>
        <w:numPr>
          <w:ilvl w:val="1"/>
          <w:numId w:val="1"/>
        </w:numPr>
        <w:tabs>
          <w:tab w:val="left" w:pos="2400"/>
        </w:tabs>
        <w:ind w:left="567" w:hanging="567"/>
        <w:rPr>
          <w:rFonts w:ascii="Arial" w:hAnsi="Arial" w:cs="Arial"/>
          <w:sz w:val="24"/>
          <w:szCs w:val="24"/>
        </w:rPr>
      </w:pPr>
      <w:r>
        <w:rPr>
          <w:rFonts w:ascii="Arial" w:hAnsi="Arial" w:cs="Arial"/>
          <w:sz w:val="24"/>
          <w:szCs w:val="24"/>
        </w:rPr>
        <w:t>Assured tenancies have the stat</w:t>
      </w:r>
      <w:r w:rsidR="00132E0F">
        <w:rPr>
          <w:rFonts w:ascii="Arial" w:hAnsi="Arial" w:cs="Arial"/>
          <w:sz w:val="24"/>
          <w:szCs w:val="24"/>
        </w:rPr>
        <w:t>utory right to one succession by</w:t>
      </w:r>
      <w:r>
        <w:rPr>
          <w:rFonts w:ascii="Arial" w:hAnsi="Arial" w:cs="Arial"/>
          <w:sz w:val="24"/>
          <w:szCs w:val="24"/>
        </w:rPr>
        <w:t xml:space="preserve"> a spouse or someone living with the tenant as</w:t>
      </w:r>
      <w:r w:rsidR="00B60419">
        <w:rPr>
          <w:rFonts w:ascii="Arial" w:hAnsi="Arial" w:cs="Arial"/>
          <w:sz w:val="24"/>
          <w:szCs w:val="24"/>
        </w:rPr>
        <w:t xml:space="preserve"> their</w:t>
      </w:r>
      <w:r>
        <w:rPr>
          <w:rFonts w:ascii="Arial" w:hAnsi="Arial" w:cs="Arial"/>
          <w:sz w:val="24"/>
          <w:szCs w:val="24"/>
        </w:rPr>
        <w:t xml:space="preserve"> husband or wife (including civil partners)</w:t>
      </w:r>
      <w:r w:rsidR="00DA346F">
        <w:rPr>
          <w:rFonts w:ascii="Arial" w:hAnsi="Arial" w:cs="Arial"/>
          <w:sz w:val="24"/>
          <w:szCs w:val="24"/>
        </w:rPr>
        <w:t xml:space="preserve"> as per the Housing Act 1988</w:t>
      </w:r>
    </w:p>
    <w:p w14:paraId="2B836B47" w14:textId="77777777" w:rsidR="00132E0F" w:rsidRPr="00132E0F" w:rsidRDefault="00132E0F" w:rsidP="00132E0F">
      <w:pPr>
        <w:pStyle w:val="ListParagraph"/>
        <w:rPr>
          <w:rFonts w:ascii="Arial" w:hAnsi="Arial" w:cs="Arial"/>
          <w:sz w:val="24"/>
          <w:szCs w:val="24"/>
        </w:rPr>
      </w:pPr>
    </w:p>
    <w:p w14:paraId="6BB74D92" w14:textId="32565B8F" w:rsidR="00132E0F" w:rsidRDefault="00F27388" w:rsidP="00AA6FF4">
      <w:pPr>
        <w:pStyle w:val="ListParagraph"/>
        <w:numPr>
          <w:ilvl w:val="1"/>
          <w:numId w:val="1"/>
        </w:numPr>
        <w:tabs>
          <w:tab w:val="left" w:pos="2400"/>
        </w:tabs>
        <w:ind w:left="567" w:hanging="567"/>
        <w:rPr>
          <w:rFonts w:ascii="Arial" w:hAnsi="Arial" w:cs="Arial"/>
          <w:sz w:val="24"/>
          <w:szCs w:val="24"/>
        </w:rPr>
      </w:pPr>
      <w:r>
        <w:rPr>
          <w:rFonts w:ascii="Arial" w:hAnsi="Arial" w:cs="Arial"/>
          <w:sz w:val="24"/>
          <w:szCs w:val="24"/>
        </w:rPr>
        <w:t xml:space="preserve">For assured tenancies as per </w:t>
      </w:r>
      <w:r w:rsidR="00BB0271">
        <w:rPr>
          <w:rFonts w:ascii="Arial" w:hAnsi="Arial" w:cs="Arial"/>
          <w:sz w:val="24"/>
          <w:szCs w:val="24"/>
        </w:rPr>
        <w:t>4</w:t>
      </w:r>
      <w:r>
        <w:rPr>
          <w:rFonts w:ascii="Arial" w:hAnsi="Arial" w:cs="Arial"/>
          <w:sz w:val="24"/>
          <w:szCs w:val="24"/>
        </w:rPr>
        <w:t>.8</w:t>
      </w:r>
      <w:r w:rsidR="00132E0F">
        <w:rPr>
          <w:rFonts w:ascii="Arial" w:hAnsi="Arial" w:cs="Arial"/>
          <w:sz w:val="24"/>
          <w:szCs w:val="24"/>
        </w:rPr>
        <w:t xml:space="preserve">, the spouse or cohabitee is the only person with the </w:t>
      </w:r>
      <w:r w:rsidR="00DA3B71">
        <w:rPr>
          <w:rFonts w:ascii="Arial" w:hAnsi="Arial" w:cs="Arial"/>
          <w:sz w:val="24"/>
          <w:szCs w:val="24"/>
        </w:rPr>
        <w:t xml:space="preserve">statutory </w:t>
      </w:r>
      <w:r w:rsidR="00132E0F">
        <w:rPr>
          <w:rFonts w:ascii="Arial" w:hAnsi="Arial" w:cs="Arial"/>
          <w:sz w:val="24"/>
          <w:szCs w:val="24"/>
        </w:rPr>
        <w:t xml:space="preserve">right to succession and does not have to prove their length of residence </w:t>
      </w:r>
    </w:p>
    <w:p w14:paraId="7227BE84" w14:textId="77777777" w:rsidR="00DA346F" w:rsidRPr="00DA346F" w:rsidRDefault="00DA346F" w:rsidP="00DA346F">
      <w:pPr>
        <w:pStyle w:val="ListParagraph"/>
        <w:rPr>
          <w:rFonts w:ascii="Arial" w:hAnsi="Arial" w:cs="Arial"/>
          <w:sz w:val="24"/>
          <w:szCs w:val="24"/>
        </w:rPr>
      </w:pPr>
    </w:p>
    <w:p w14:paraId="79C4BE1E" w14:textId="77777777" w:rsidR="00DA346F" w:rsidRDefault="00DA346F" w:rsidP="00AA6FF4">
      <w:pPr>
        <w:pStyle w:val="ListParagraph"/>
        <w:numPr>
          <w:ilvl w:val="1"/>
          <w:numId w:val="1"/>
        </w:numPr>
        <w:tabs>
          <w:tab w:val="left" w:pos="2400"/>
        </w:tabs>
        <w:ind w:left="567" w:hanging="567"/>
        <w:rPr>
          <w:rFonts w:ascii="Arial" w:hAnsi="Arial" w:cs="Arial"/>
          <w:sz w:val="24"/>
          <w:szCs w:val="24"/>
        </w:rPr>
      </w:pPr>
      <w:r>
        <w:rPr>
          <w:rFonts w:ascii="Arial" w:hAnsi="Arial" w:cs="Arial"/>
          <w:sz w:val="24"/>
          <w:szCs w:val="24"/>
        </w:rPr>
        <w:t>Additional successor</w:t>
      </w:r>
      <w:r w:rsidR="00DA3B71">
        <w:rPr>
          <w:rFonts w:ascii="Arial" w:hAnsi="Arial" w:cs="Arial"/>
          <w:sz w:val="24"/>
          <w:szCs w:val="24"/>
        </w:rPr>
        <w:t xml:space="preserve"> rights</w:t>
      </w:r>
      <w:r>
        <w:rPr>
          <w:rFonts w:ascii="Arial" w:hAnsi="Arial" w:cs="Arial"/>
          <w:sz w:val="24"/>
          <w:szCs w:val="24"/>
        </w:rPr>
        <w:t xml:space="preserve"> may be included in assured tenancy agreements</w:t>
      </w:r>
    </w:p>
    <w:p w14:paraId="0BBE81F5" w14:textId="77777777" w:rsidR="00132E0F" w:rsidRPr="00132E0F" w:rsidRDefault="00132E0F" w:rsidP="00132E0F">
      <w:pPr>
        <w:pStyle w:val="ListParagraph"/>
        <w:rPr>
          <w:rFonts w:ascii="Arial" w:hAnsi="Arial" w:cs="Arial"/>
          <w:sz w:val="24"/>
          <w:szCs w:val="24"/>
        </w:rPr>
      </w:pPr>
    </w:p>
    <w:p w14:paraId="268C4DA0" w14:textId="77777777" w:rsidR="00132E0F" w:rsidRDefault="00132E0F" w:rsidP="00AA6FF4">
      <w:pPr>
        <w:pStyle w:val="ListParagraph"/>
        <w:numPr>
          <w:ilvl w:val="1"/>
          <w:numId w:val="1"/>
        </w:numPr>
        <w:tabs>
          <w:tab w:val="left" w:pos="2400"/>
        </w:tabs>
        <w:ind w:left="567" w:hanging="567"/>
        <w:rPr>
          <w:rFonts w:ascii="Arial" w:hAnsi="Arial" w:cs="Arial"/>
          <w:sz w:val="24"/>
          <w:szCs w:val="24"/>
        </w:rPr>
      </w:pPr>
      <w:r>
        <w:rPr>
          <w:rFonts w:ascii="Arial" w:hAnsi="Arial" w:cs="Arial"/>
          <w:sz w:val="24"/>
          <w:szCs w:val="24"/>
        </w:rPr>
        <w:t>In the case of a statutory succession a new tenancy will not be created, the occupier will inherit the existing tenancy</w:t>
      </w:r>
    </w:p>
    <w:p w14:paraId="6F8AC0C0" w14:textId="77777777" w:rsidR="00B60419" w:rsidRPr="00B60419" w:rsidRDefault="00B60419" w:rsidP="00B60419">
      <w:pPr>
        <w:pStyle w:val="ListParagraph"/>
        <w:rPr>
          <w:rFonts w:ascii="Arial" w:hAnsi="Arial" w:cs="Arial"/>
          <w:sz w:val="24"/>
          <w:szCs w:val="24"/>
        </w:rPr>
      </w:pPr>
    </w:p>
    <w:p w14:paraId="3911667C" w14:textId="77777777" w:rsidR="00B60419" w:rsidRDefault="00B60419" w:rsidP="00AA6FF4">
      <w:pPr>
        <w:pStyle w:val="ListParagraph"/>
        <w:numPr>
          <w:ilvl w:val="1"/>
          <w:numId w:val="1"/>
        </w:numPr>
        <w:tabs>
          <w:tab w:val="left" w:pos="2400"/>
        </w:tabs>
        <w:ind w:left="567" w:hanging="567"/>
        <w:rPr>
          <w:rFonts w:ascii="Arial" w:hAnsi="Arial" w:cs="Arial"/>
          <w:sz w:val="24"/>
          <w:szCs w:val="24"/>
        </w:rPr>
      </w:pPr>
      <w:r>
        <w:rPr>
          <w:rFonts w:ascii="Arial" w:hAnsi="Arial" w:cs="Arial"/>
          <w:sz w:val="24"/>
          <w:szCs w:val="24"/>
        </w:rPr>
        <w:t>In a case where a tenancy agreement permits additional succession rights to those above, this is considered a contractual succession and a new tenancy will be created for the eligible successor</w:t>
      </w:r>
    </w:p>
    <w:p w14:paraId="6B9569B4" w14:textId="77777777" w:rsidR="00B60419" w:rsidRPr="00B60419" w:rsidRDefault="00B60419" w:rsidP="00B60419">
      <w:pPr>
        <w:pStyle w:val="ListParagraph"/>
        <w:rPr>
          <w:rFonts w:ascii="Arial" w:hAnsi="Arial" w:cs="Arial"/>
          <w:sz w:val="24"/>
          <w:szCs w:val="24"/>
        </w:rPr>
      </w:pPr>
    </w:p>
    <w:p w14:paraId="6CB07054" w14:textId="6A4E696B" w:rsidR="00DD43E5" w:rsidRDefault="00DD43E5" w:rsidP="00DD43E5">
      <w:pPr>
        <w:pStyle w:val="ListParagraph"/>
        <w:numPr>
          <w:ilvl w:val="1"/>
          <w:numId w:val="1"/>
        </w:numPr>
        <w:tabs>
          <w:tab w:val="left" w:pos="2400"/>
        </w:tabs>
        <w:ind w:left="567" w:hanging="567"/>
        <w:rPr>
          <w:rFonts w:ascii="Arial" w:hAnsi="Arial" w:cs="Arial"/>
          <w:sz w:val="24"/>
          <w:szCs w:val="24"/>
        </w:rPr>
      </w:pPr>
      <w:r w:rsidRPr="009039CF">
        <w:rPr>
          <w:rFonts w:ascii="Arial" w:hAnsi="Arial" w:cs="Arial"/>
          <w:sz w:val="24"/>
          <w:szCs w:val="24"/>
        </w:rPr>
        <w:t>Should the tenant not be living at the property as their sole or principal home at the time of their death e.g. they have moved to a permanent placement in a care home, then there is no right of succession as the tenancy is no longer Assured. A discretionary offer of tenancy will be considered instead.</w:t>
      </w:r>
    </w:p>
    <w:p w14:paraId="7133582E" w14:textId="77777777" w:rsidR="00DD43E5" w:rsidRPr="00C00BD3" w:rsidRDefault="00DD43E5" w:rsidP="00C00BD3">
      <w:pPr>
        <w:pStyle w:val="ListParagraph"/>
        <w:rPr>
          <w:rFonts w:ascii="Arial" w:hAnsi="Arial" w:cs="Arial"/>
          <w:sz w:val="24"/>
          <w:szCs w:val="24"/>
        </w:rPr>
      </w:pPr>
    </w:p>
    <w:p w14:paraId="5E05033E" w14:textId="35CC03A5" w:rsidR="00B60419" w:rsidRDefault="006650B0" w:rsidP="00AA6FF4">
      <w:pPr>
        <w:pStyle w:val="ListParagraph"/>
        <w:numPr>
          <w:ilvl w:val="1"/>
          <w:numId w:val="1"/>
        </w:numPr>
        <w:tabs>
          <w:tab w:val="left" w:pos="2400"/>
        </w:tabs>
        <w:ind w:left="567" w:hanging="567"/>
        <w:rPr>
          <w:rFonts w:ascii="Arial" w:hAnsi="Arial" w:cs="Arial"/>
          <w:sz w:val="24"/>
          <w:szCs w:val="24"/>
        </w:rPr>
      </w:pPr>
      <w:r>
        <w:rPr>
          <w:rFonts w:ascii="Arial" w:hAnsi="Arial" w:cs="Arial"/>
          <w:sz w:val="24"/>
          <w:szCs w:val="24"/>
        </w:rPr>
        <w:t xml:space="preserve">Hexagon </w:t>
      </w:r>
      <w:r w:rsidR="00B60419">
        <w:rPr>
          <w:rFonts w:ascii="Arial" w:hAnsi="Arial" w:cs="Arial"/>
          <w:sz w:val="24"/>
          <w:szCs w:val="24"/>
        </w:rPr>
        <w:t>may wish to offer a discretionary</w:t>
      </w:r>
      <w:r w:rsidR="00DA3B71">
        <w:rPr>
          <w:rFonts w:ascii="Arial" w:hAnsi="Arial" w:cs="Arial"/>
          <w:sz w:val="24"/>
          <w:szCs w:val="24"/>
        </w:rPr>
        <w:t xml:space="preserve"> granting of a tenancy</w:t>
      </w:r>
      <w:r w:rsidR="00F27388">
        <w:rPr>
          <w:rFonts w:ascii="Arial" w:hAnsi="Arial" w:cs="Arial"/>
          <w:sz w:val="24"/>
          <w:szCs w:val="24"/>
        </w:rPr>
        <w:t xml:space="preserve"> </w:t>
      </w:r>
      <w:r w:rsidR="006370BC">
        <w:rPr>
          <w:rFonts w:ascii="Arial" w:hAnsi="Arial" w:cs="Arial"/>
          <w:sz w:val="24"/>
          <w:szCs w:val="24"/>
        </w:rPr>
        <w:t xml:space="preserve">to </w:t>
      </w:r>
      <w:r w:rsidR="00B60419">
        <w:rPr>
          <w:rFonts w:ascii="Arial" w:hAnsi="Arial" w:cs="Arial"/>
          <w:sz w:val="24"/>
          <w:szCs w:val="24"/>
        </w:rPr>
        <w:t xml:space="preserve">a person </w:t>
      </w:r>
      <w:r w:rsidR="00DA3B71">
        <w:rPr>
          <w:rFonts w:ascii="Arial" w:hAnsi="Arial" w:cs="Arial"/>
          <w:sz w:val="24"/>
          <w:szCs w:val="24"/>
        </w:rPr>
        <w:t>who i</w:t>
      </w:r>
      <w:r w:rsidR="00B60419">
        <w:rPr>
          <w:rFonts w:ascii="Arial" w:hAnsi="Arial" w:cs="Arial"/>
          <w:sz w:val="24"/>
          <w:szCs w:val="24"/>
        </w:rPr>
        <w:t xml:space="preserve">s living at the property </w:t>
      </w:r>
      <w:r w:rsidR="006370BC">
        <w:rPr>
          <w:rFonts w:ascii="Arial" w:hAnsi="Arial" w:cs="Arial"/>
          <w:sz w:val="24"/>
          <w:szCs w:val="24"/>
        </w:rPr>
        <w:t>but does not have statutory</w:t>
      </w:r>
      <w:r w:rsidR="00DA346F">
        <w:rPr>
          <w:rFonts w:ascii="Arial" w:hAnsi="Arial" w:cs="Arial"/>
          <w:sz w:val="24"/>
          <w:szCs w:val="24"/>
        </w:rPr>
        <w:t xml:space="preserve"> or contractual</w:t>
      </w:r>
      <w:r w:rsidR="006370BC">
        <w:rPr>
          <w:rFonts w:ascii="Arial" w:hAnsi="Arial" w:cs="Arial"/>
          <w:sz w:val="24"/>
          <w:szCs w:val="24"/>
        </w:rPr>
        <w:t xml:space="preserve"> rights</w:t>
      </w:r>
      <w:r w:rsidR="00DA3B71">
        <w:rPr>
          <w:rFonts w:ascii="Arial" w:hAnsi="Arial" w:cs="Arial"/>
          <w:sz w:val="24"/>
          <w:szCs w:val="24"/>
        </w:rPr>
        <w:t>.  This may be at an alternative address.</w:t>
      </w:r>
      <w:r w:rsidR="006370BC">
        <w:rPr>
          <w:rFonts w:ascii="Arial" w:hAnsi="Arial" w:cs="Arial"/>
          <w:sz w:val="24"/>
          <w:szCs w:val="24"/>
        </w:rPr>
        <w:t xml:space="preserve"> </w:t>
      </w:r>
    </w:p>
    <w:p w14:paraId="5275B050" w14:textId="77777777" w:rsidR="00DD43E5" w:rsidRPr="00C00BD3" w:rsidRDefault="00DD43E5" w:rsidP="00C00BD3">
      <w:pPr>
        <w:pStyle w:val="ListParagraph"/>
        <w:rPr>
          <w:rFonts w:ascii="Arial" w:hAnsi="Arial" w:cs="Arial"/>
          <w:sz w:val="24"/>
          <w:szCs w:val="24"/>
        </w:rPr>
      </w:pPr>
    </w:p>
    <w:p w14:paraId="00788FDF" w14:textId="32E55E72" w:rsidR="006370BC" w:rsidRDefault="006370BC" w:rsidP="00AA6FF4">
      <w:pPr>
        <w:pStyle w:val="ListParagraph"/>
        <w:numPr>
          <w:ilvl w:val="1"/>
          <w:numId w:val="1"/>
        </w:numPr>
        <w:tabs>
          <w:tab w:val="left" w:pos="2400"/>
        </w:tabs>
        <w:ind w:left="567" w:hanging="567"/>
        <w:rPr>
          <w:rFonts w:ascii="Arial" w:hAnsi="Arial" w:cs="Arial"/>
          <w:sz w:val="24"/>
          <w:szCs w:val="24"/>
        </w:rPr>
      </w:pPr>
      <w:r>
        <w:rPr>
          <w:rFonts w:ascii="Arial" w:hAnsi="Arial" w:cs="Arial"/>
          <w:sz w:val="24"/>
          <w:szCs w:val="24"/>
        </w:rPr>
        <w:t xml:space="preserve">This offer is made entirely at Hexagons discretion, </w:t>
      </w:r>
      <w:r w:rsidR="006650B0">
        <w:rPr>
          <w:rFonts w:ascii="Arial" w:hAnsi="Arial" w:cs="Arial"/>
          <w:sz w:val="24"/>
          <w:szCs w:val="24"/>
        </w:rPr>
        <w:t xml:space="preserve">and </w:t>
      </w:r>
      <w:r>
        <w:rPr>
          <w:rFonts w:ascii="Arial" w:hAnsi="Arial" w:cs="Arial"/>
          <w:sz w:val="24"/>
          <w:szCs w:val="24"/>
        </w:rPr>
        <w:t xml:space="preserve">will consider </w:t>
      </w:r>
      <w:proofErr w:type="gramStart"/>
      <w:r>
        <w:rPr>
          <w:rFonts w:ascii="Arial" w:hAnsi="Arial" w:cs="Arial"/>
          <w:sz w:val="24"/>
          <w:szCs w:val="24"/>
        </w:rPr>
        <w:t>a number of</w:t>
      </w:r>
      <w:proofErr w:type="gramEnd"/>
      <w:r>
        <w:rPr>
          <w:rFonts w:ascii="Arial" w:hAnsi="Arial" w:cs="Arial"/>
          <w:sz w:val="24"/>
          <w:szCs w:val="24"/>
        </w:rPr>
        <w:t xml:space="preserve"> factors regarding the successor including:</w:t>
      </w:r>
    </w:p>
    <w:p w14:paraId="2C340E58" w14:textId="77777777" w:rsidR="006370BC" w:rsidRPr="006370BC" w:rsidRDefault="006370BC" w:rsidP="006370BC">
      <w:pPr>
        <w:pStyle w:val="ListParagraph"/>
        <w:rPr>
          <w:rFonts w:ascii="Arial" w:hAnsi="Arial" w:cs="Arial"/>
          <w:sz w:val="24"/>
          <w:szCs w:val="24"/>
        </w:rPr>
      </w:pPr>
    </w:p>
    <w:p w14:paraId="64170B03" w14:textId="77777777" w:rsidR="006370BC" w:rsidRDefault="006370BC" w:rsidP="006370BC">
      <w:pPr>
        <w:pStyle w:val="ListParagraph"/>
        <w:numPr>
          <w:ilvl w:val="2"/>
          <w:numId w:val="1"/>
        </w:numPr>
        <w:tabs>
          <w:tab w:val="left" w:pos="2400"/>
        </w:tabs>
        <w:rPr>
          <w:rFonts w:ascii="Arial" w:hAnsi="Arial" w:cs="Arial"/>
          <w:sz w:val="24"/>
          <w:szCs w:val="24"/>
        </w:rPr>
      </w:pPr>
      <w:r>
        <w:rPr>
          <w:rFonts w:ascii="Arial" w:hAnsi="Arial" w:cs="Arial"/>
          <w:sz w:val="24"/>
          <w:szCs w:val="24"/>
        </w:rPr>
        <w:t>Length of time they have lived in the property (proof of 12 months residence may be required)</w:t>
      </w:r>
    </w:p>
    <w:p w14:paraId="630E56C1" w14:textId="7791E404" w:rsidR="006370BC" w:rsidRDefault="006370BC" w:rsidP="006370BC">
      <w:pPr>
        <w:pStyle w:val="ListParagraph"/>
        <w:numPr>
          <w:ilvl w:val="2"/>
          <w:numId w:val="1"/>
        </w:numPr>
        <w:tabs>
          <w:tab w:val="left" w:pos="2400"/>
        </w:tabs>
        <w:rPr>
          <w:rFonts w:ascii="Arial" w:hAnsi="Arial" w:cs="Arial"/>
          <w:sz w:val="24"/>
          <w:szCs w:val="24"/>
        </w:rPr>
      </w:pPr>
      <w:r>
        <w:rPr>
          <w:rFonts w:ascii="Arial" w:hAnsi="Arial" w:cs="Arial"/>
          <w:sz w:val="24"/>
          <w:szCs w:val="24"/>
        </w:rPr>
        <w:t>Whether they live at the property as their only home</w:t>
      </w:r>
    </w:p>
    <w:p w14:paraId="38231869" w14:textId="77777777" w:rsidR="006370BC" w:rsidRDefault="006370BC" w:rsidP="006370BC">
      <w:pPr>
        <w:pStyle w:val="ListParagraph"/>
        <w:numPr>
          <w:ilvl w:val="2"/>
          <w:numId w:val="1"/>
        </w:numPr>
        <w:tabs>
          <w:tab w:val="left" w:pos="2400"/>
        </w:tabs>
        <w:rPr>
          <w:rFonts w:ascii="Arial" w:hAnsi="Arial" w:cs="Arial"/>
          <w:sz w:val="24"/>
          <w:szCs w:val="24"/>
        </w:rPr>
      </w:pPr>
      <w:r>
        <w:rPr>
          <w:rFonts w:ascii="Arial" w:hAnsi="Arial" w:cs="Arial"/>
          <w:sz w:val="24"/>
          <w:szCs w:val="24"/>
        </w:rPr>
        <w:t xml:space="preserve">Their age </w:t>
      </w:r>
    </w:p>
    <w:p w14:paraId="356C3602" w14:textId="77777777" w:rsidR="006370BC" w:rsidRDefault="006370BC" w:rsidP="006370BC">
      <w:pPr>
        <w:pStyle w:val="ListParagraph"/>
        <w:numPr>
          <w:ilvl w:val="2"/>
          <w:numId w:val="1"/>
        </w:numPr>
        <w:tabs>
          <w:tab w:val="left" w:pos="2400"/>
        </w:tabs>
        <w:rPr>
          <w:rFonts w:ascii="Arial" w:hAnsi="Arial" w:cs="Arial"/>
          <w:sz w:val="24"/>
          <w:szCs w:val="24"/>
        </w:rPr>
      </w:pPr>
      <w:r>
        <w:rPr>
          <w:rFonts w:ascii="Arial" w:hAnsi="Arial" w:cs="Arial"/>
          <w:sz w:val="24"/>
          <w:szCs w:val="24"/>
        </w:rPr>
        <w:t>Relationship to the tenant</w:t>
      </w:r>
    </w:p>
    <w:p w14:paraId="1360B79B" w14:textId="77777777" w:rsidR="006370BC" w:rsidRDefault="006370BC" w:rsidP="006370BC">
      <w:pPr>
        <w:pStyle w:val="ListParagraph"/>
        <w:numPr>
          <w:ilvl w:val="2"/>
          <w:numId w:val="1"/>
        </w:numPr>
        <w:tabs>
          <w:tab w:val="left" w:pos="2400"/>
        </w:tabs>
        <w:rPr>
          <w:rFonts w:ascii="Arial" w:hAnsi="Arial" w:cs="Arial"/>
          <w:sz w:val="24"/>
          <w:szCs w:val="24"/>
        </w:rPr>
      </w:pPr>
      <w:r>
        <w:rPr>
          <w:rFonts w:ascii="Arial" w:hAnsi="Arial" w:cs="Arial"/>
          <w:sz w:val="24"/>
          <w:szCs w:val="24"/>
        </w:rPr>
        <w:t>Whether they have been caring for the tenant</w:t>
      </w:r>
    </w:p>
    <w:p w14:paraId="007076BA" w14:textId="77777777" w:rsidR="006370BC" w:rsidRDefault="006370BC" w:rsidP="006370BC">
      <w:pPr>
        <w:pStyle w:val="ListParagraph"/>
        <w:numPr>
          <w:ilvl w:val="2"/>
          <w:numId w:val="1"/>
        </w:numPr>
        <w:tabs>
          <w:tab w:val="left" w:pos="2400"/>
        </w:tabs>
        <w:rPr>
          <w:rFonts w:ascii="Arial" w:hAnsi="Arial" w:cs="Arial"/>
          <w:sz w:val="24"/>
          <w:szCs w:val="24"/>
        </w:rPr>
      </w:pPr>
      <w:r>
        <w:rPr>
          <w:rFonts w:ascii="Arial" w:hAnsi="Arial" w:cs="Arial"/>
          <w:sz w:val="24"/>
          <w:szCs w:val="24"/>
        </w:rPr>
        <w:t xml:space="preserve">Their ability to sustain a tenancy </w:t>
      </w:r>
    </w:p>
    <w:p w14:paraId="758760A2" w14:textId="77777777" w:rsidR="006370BC" w:rsidRDefault="006370BC" w:rsidP="006370BC">
      <w:pPr>
        <w:pStyle w:val="ListParagraph"/>
        <w:numPr>
          <w:ilvl w:val="2"/>
          <w:numId w:val="1"/>
        </w:numPr>
        <w:tabs>
          <w:tab w:val="left" w:pos="2400"/>
        </w:tabs>
        <w:rPr>
          <w:rFonts w:ascii="Arial" w:hAnsi="Arial" w:cs="Arial"/>
          <w:sz w:val="24"/>
          <w:szCs w:val="24"/>
        </w:rPr>
      </w:pPr>
      <w:r>
        <w:rPr>
          <w:rFonts w:ascii="Arial" w:hAnsi="Arial" w:cs="Arial"/>
          <w:sz w:val="24"/>
          <w:szCs w:val="24"/>
        </w:rPr>
        <w:t>Whether they or any of their previous visitors have had issues with anti-social behaviour</w:t>
      </w:r>
    </w:p>
    <w:p w14:paraId="6593275A" w14:textId="72579DA4" w:rsidR="006370BC" w:rsidRDefault="00DA3B71" w:rsidP="006370BC">
      <w:pPr>
        <w:pStyle w:val="ListParagraph"/>
        <w:numPr>
          <w:ilvl w:val="2"/>
          <w:numId w:val="1"/>
        </w:numPr>
        <w:tabs>
          <w:tab w:val="left" w:pos="2400"/>
        </w:tabs>
        <w:rPr>
          <w:rFonts w:ascii="Arial" w:hAnsi="Arial" w:cs="Arial"/>
          <w:sz w:val="24"/>
          <w:szCs w:val="24"/>
        </w:rPr>
      </w:pPr>
      <w:r>
        <w:rPr>
          <w:rFonts w:ascii="Arial" w:hAnsi="Arial" w:cs="Arial"/>
          <w:sz w:val="24"/>
          <w:szCs w:val="24"/>
        </w:rPr>
        <w:t>Whether there have been any breaches of the tenancy terms including</w:t>
      </w:r>
      <w:r w:rsidR="006370BC">
        <w:rPr>
          <w:rFonts w:ascii="Arial" w:hAnsi="Arial" w:cs="Arial"/>
          <w:sz w:val="24"/>
          <w:szCs w:val="24"/>
        </w:rPr>
        <w:t xml:space="preserve"> rent arrears or former tenant arrears </w:t>
      </w:r>
    </w:p>
    <w:p w14:paraId="5959A0DA" w14:textId="77777777" w:rsidR="00DA3B71" w:rsidRDefault="00DA3B71" w:rsidP="006370BC">
      <w:pPr>
        <w:pStyle w:val="ListParagraph"/>
        <w:numPr>
          <w:ilvl w:val="2"/>
          <w:numId w:val="1"/>
        </w:numPr>
        <w:tabs>
          <w:tab w:val="left" w:pos="2400"/>
        </w:tabs>
        <w:rPr>
          <w:rFonts w:ascii="Arial" w:hAnsi="Arial" w:cs="Arial"/>
          <w:sz w:val="24"/>
          <w:szCs w:val="24"/>
        </w:rPr>
      </w:pPr>
      <w:r>
        <w:rPr>
          <w:rFonts w:ascii="Arial" w:hAnsi="Arial" w:cs="Arial"/>
          <w:sz w:val="24"/>
          <w:szCs w:val="24"/>
        </w:rPr>
        <w:lastRenderedPageBreak/>
        <w:t>Whether they have a means to secure alternative accommodation</w:t>
      </w:r>
    </w:p>
    <w:p w14:paraId="5E7CC062" w14:textId="77777777" w:rsidR="006370BC" w:rsidRDefault="006370BC" w:rsidP="006370BC">
      <w:pPr>
        <w:pStyle w:val="ListParagraph"/>
        <w:tabs>
          <w:tab w:val="left" w:pos="2400"/>
        </w:tabs>
        <w:ind w:left="2160"/>
        <w:rPr>
          <w:rFonts w:ascii="Arial" w:hAnsi="Arial" w:cs="Arial"/>
          <w:sz w:val="24"/>
          <w:szCs w:val="24"/>
        </w:rPr>
      </w:pPr>
    </w:p>
    <w:p w14:paraId="72ED4CBC" w14:textId="77777777" w:rsidR="006370BC" w:rsidRPr="00AA6FF4" w:rsidRDefault="006370BC" w:rsidP="006370BC">
      <w:pPr>
        <w:pStyle w:val="ListParagraph"/>
        <w:numPr>
          <w:ilvl w:val="1"/>
          <w:numId w:val="1"/>
        </w:numPr>
        <w:tabs>
          <w:tab w:val="left" w:pos="2400"/>
        </w:tabs>
        <w:ind w:left="567" w:hanging="567"/>
        <w:rPr>
          <w:rFonts w:ascii="Arial" w:hAnsi="Arial" w:cs="Arial"/>
          <w:sz w:val="24"/>
          <w:szCs w:val="24"/>
        </w:rPr>
      </w:pPr>
      <w:r>
        <w:rPr>
          <w:rFonts w:ascii="Arial" w:hAnsi="Arial" w:cs="Arial"/>
          <w:sz w:val="24"/>
          <w:szCs w:val="24"/>
        </w:rPr>
        <w:t>The decision will be made based on the above factors and any other reasonable consideration we may have regarding the eligibility of the successor and our duty to allocate properties in a fair manner</w:t>
      </w:r>
    </w:p>
    <w:p w14:paraId="14A5C009" w14:textId="77777777" w:rsidR="00AA6FF4" w:rsidRPr="008017C7" w:rsidRDefault="00AA6FF4" w:rsidP="00AA6FF4">
      <w:pPr>
        <w:pStyle w:val="ListParagraph"/>
        <w:tabs>
          <w:tab w:val="left" w:pos="2400"/>
        </w:tabs>
        <w:ind w:left="567"/>
        <w:rPr>
          <w:rFonts w:ascii="Arial" w:hAnsi="Arial" w:cs="Arial"/>
          <w:b/>
          <w:sz w:val="24"/>
          <w:szCs w:val="24"/>
        </w:rPr>
      </w:pPr>
    </w:p>
    <w:p w14:paraId="35C4D6F0" w14:textId="77777777" w:rsidR="00E75C04" w:rsidRPr="00E75C04" w:rsidRDefault="00E75C04" w:rsidP="00E75C04">
      <w:pPr>
        <w:pStyle w:val="ListParagraph"/>
        <w:tabs>
          <w:tab w:val="left" w:pos="2400"/>
        </w:tabs>
        <w:ind w:left="567"/>
        <w:rPr>
          <w:rFonts w:ascii="Arial" w:hAnsi="Arial" w:cs="Arial"/>
          <w:b/>
          <w:sz w:val="24"/>
          <w:szCs w:val="24"/>
        </w:rPr>
      </w:pPr>
    </w:p>
    <w:p w14:paraId="5B767B78" w14:textId="77777777" w:rsidR="009E1D42" w:rsidRPr="00C00BD3" w:rsidRDefault="009E1D42" w:rsidP="00C00BD3">
      <w:pPr>
        <w:pStyle w:val="ListParagraph"/>
        <w:numPr>
          <w:ilvl w:val="0"/>
          <w:numId w:val="1"/>
        </w:numPr>
        <w:tabs>
          <w:tab w:val="left" w:pos="284"/>
        </w:tabs>
        <w:rPr>
          <w:rFonts w:ascii="Arial" w:hAnsi="Arial" w:cs="Arial"/>
          <w:b/>
          <w:sz w:val="28"/>
          <w:szCs w:val="28"/>
        </w:rPr>
      </w:pPr>
      <w:r w:rsidRPr="00C00BD3">
        <w:rPr>
          <w:rFonts w:ascii="Arial" w:hAnsi="Arial" w:cs="Arial"/>
          <w:b/>
          <w:sz w:val="28"/>
          <w:szCs w:val="28"/>
        </w:rPr>
        <w:t xml:space="preserve">   Legal framework</w:t>
      </w:r>
    </w:p>
    <w:p w14:paraId="6B6B92F7" w14:textId="2472E78C" w:rsidR="009E1D42" w:rsidRDefault="004D42B8" w:rsidP="009E1D42">
      <w:pPr>
        <w:tabs>
          <w:tab w:val="left" w:pos="2400"/>
        </w:tabs>
        <w:rPr>
          <w:rFonts w:ascii="Arial" w:hAnsi="Arial" w:cs="Arial"/>
          <w:sz w:val="24"/>
          <w:szCs w:val="24"/>
        </w:rPr>
      </w:pPr>
      <w:proofErr w:type="gramStart"/>
      <w:r>
        <w:rPr>
          <w:rFonts w:ascii="Arial" w:hAnsi="Arial" w:cs="Arial"/>
          <w:sz w:val="24"/>
          <w:szCs w:val="24"/>
        </w:rPr>
        <w:t>5</w:t>
      </w:r>
      <w:r w:rsidR="009E1D42">
        <w:rPr>
          <w:rFonts w:ascii="Arial" w:hAnsi="Arial" w:cs="Arial"/>
          <w:sz w:val="24"/>
          <w:szCs w:val="24"/>
        </w:rPr>
        <w:t xml:space="preserve">.1 </w:t>
      </w:r>
      <w:r>
        <w:rPr>
          <w:rFonts w:ascii="Arial" w:hAnsi="Arial" w:cs="Arial"/>
          <w:sz w:val="24"/>
          <w:szCs w:val="24"/>
        </w:rPr>
        <w:t xml:space="preserve"> </w:t>
      </w:r>
      <w:r w:rsidR="009E1D42">
        <w:rPr>
          <w:rFonts w:ascii="Arial" w:hAnsi="Arial" w:cs="Arial"/>
          <w:sz w:val="24"/>
          <w:szCs w:val="24"/>
        </w:rPr>
        <w:t>This</w:t>
      </w:r>
      <w:proofErr w:type="gramEnd"/>
      <w:r w:rsidR="009E1D42">
        <w:rPr>
          <w:rFonts w:ascii="Arial" w:hAnsi="Arial" w:cs="Arial"/>
          <w:sz w:val="24"/>
          <w:szCs w:val="24"/>
        </w:rPr>
        <w:t xml:space="preserve"> policy is designed to comply with the following legislation</w:t>
      </w:r>
      <w:r w:rsidR="00AA0F8A">
        <w:rPr>
          <w:rFonts w:ascii="Arial" w:hAnsi="Arial" w:cs="Arial"/>
          <w:sz w:val="24"/>
          <w:szCs w:val="24"/>
        </w:rPr>
        <w:t xml:space="preserve"> and guidance</w:t>
      </w:r>
      <w:r w:rsidR="007E1406">
        <w:rPr>
          <w:rFonts w:ascii="Arial" w:hAnsi="Arial" w:cs="Arial"/>
          <w:sz w:val="24"/>
          <w:szCs w:val="24"/>
        </w:rPr>
        <w:t>:</w:t>
      </w:r>
    </w:p>
    <w:p w14:paraId="18F20EE9" w14:textId="77777777" w:rsidR="007E1406" w:rsidRDefault="00AA6FF4" w:rsidP="00C00BD3">
      <w:pPr>
        <w:pStyle w:val="ListParagraph"/>
        <w:numPr>
          <w:ilvl w:val="0"/>
          <w:numId w:val="5"/>
        </w:numPr>
        <w:tabs>
          <w:tab w:val="left" w:pos="2400"/>
        </w:tabs>
        <w:ind w:left="851"/>
        <w:rPr>
          <w:rFonts w:ascii="Arial" w:hAnsi="Arial" w:cs="Arial"/>
          <w:sz w:val="24"/>
          <w:szCs w:val="24"/>
        </w:rPr>
      </w:pPr>
      <w:r>
        <w:rPr>
          <w:rFonts w:ascii="Arial" w:hAnsi="Arial" w:cs="Arial"/>
          <w:sz w:val="24"/>
          <w:szCs w:val="24"/>
        </w:rPr>
        <w:t>Housing Act 1985</w:t>
      </w:r>
    </w:p>
    <w:p w14:paraId="1932B9D1" w14:textId="77777777" w:rsidR="00A37262" w:rsidRDefault="00AA6FF4" w:rsidP="00C00BD3">
      <w:pPr>
        <w:pStyle w:val="ListParagraph"/>
        <w:numPr>
          <w:ilvl w:val="0"/>
          <w:numId w:val="5"/>
        </w:numPr>
        <w:tabs>
          <w:tab w:val="left" w:pos="2400"/>
        </w:tabs>
        <w:ind w:left="851"/>
        <w:rPr>
          <w:rFonts w:ascii="Arial" w:hAnsi="Arial" w:cs="Arial"/>
          <w:sz w:val="24"/>
          <w:szCs w:val="24"/>
        </w:rPr>
      </w:pPr>
      <w:r>
        <w:rPr>
          <w:rFonts w:ascii="Arial" w:hAnsi="Arial" w:cs="Arial"/>
          <w:sz w:val="24"/>
          <w:szCs w:val="24"/>
        </w:rPr>
        <w:t>Housing Act 1988</w:t>
      </w:r>
    </w:p>
    <w:p w14:paraId="4A0F511B" w14:textId="77777777" w:rsidR="007E1406" w:rsidRDefault="00AA6FF4" w:rsidP="00C00BD3">
      <w:pPr>
        <w:pStyle w:val="ListParagraph"/>
        <w:numPr>
          <w:ilvl w:val="0"/>
          <w:numId w:val="5"/>
        </w:numPr>
        <w:tabs>
          <w:tab w:val="left" w:pos="2400"/>
        </w:tabs>
        <w:ind w:left="851"/>
        <w:rPr>
          <w:rFonts w:ascii="Arial" w:hAnsi="Arial" w:cs="Arial"/>
          <w:sz w:val="24"/>
          <w:szCs w:val="24"/>
        </w:rPr>
      </w:pPr>
      <w:r>
        <w:rPr>
          <w:rFonts w:ascii="Arial" w:hAnsi="Arial" w:cs="Arial"/>
          <w:sz w:val="24"/>
          <w:szCs w:val="24"/>
        </w:rPr>
        <w:t>Localism Act 2011</w:t>
      </w:r>
    </w:p>
    <w:p w14:paraId="44F3A885" w14:textId="34C4D6C7" w:rsidR="004D42B8" w:rsidRDefault="004D42B8" w:rsidP="00C00BD3">
      <w:pPr>
        <w:pStyle w:val="ListParagraph"/>
        <w:tabs>
          <w:tab w:val="left" w:pos="284"/>
        </w:tabs>
        <w:ind w:left="1440"/>
        <w:rPr>
          <w:rFonts w:ascii="Arial" w:hAnsi="Arial" w:cs="Arial"/>
          <w:b/>
          <w:sz w:val="28"/>
          <w:szCs w:val="28"/>
        </w:rPr>
      </w:pPr>
    </w:p>
    <w:p w14:paraId="5AE411CD" w14:textId="33F1E7C4" w:rsidR="004D42B8" w:rsidRPr="00C00BD3" w:rsidRDefault="004D42B8" w:rsidP="00C00BD3">
      <w:pPr>
        <w:pStyle w:val="ListParagraph"/>
        <w:numPr>
          <w:ilvl w:val="0"/>
          <w:numId w:val="1"/>
        </w:numPr>
        <w:tabs>
          <w:tab w:val="left" w:pos="284"/>
        </w:tabs>
        <w:rPr>
          <w:rFonts w:ascii="Arial" w:hAnsi="Arial" w:cs="Arial"/>
          <w:b/>
          <w:sz w:val="28"/>
          <w:szCs w:val="28"/>
        </w:rPr>
      </w:pPr>
      <w:r>
        <w:rPr>
          <w:rFonts w:ascii="Arial" w:hAnsi="Arial" w:cs="Arial"/>
          <w:b/>
          <w:sz w:val="28"/>
          <w:szCs w:val="28"/>
        </w:rPr>
        <w:t>Related Hexagon Policies and Procedures</w:t>
      </w:r>
    </w:p>
    <w:p w14:paraId="48A74BE7" w14:textId="7C0D090F" w:rsidR="009E1D42" w:rsidRDefault="00A06708" w:rsidP="004D42B8">
      <w:pPr>
        <w:pStyle w:val="ListParagraph"/>
        <w:numPr>
          <w:ilvl w:val="0"/>
          <w:numId w:val="11"/>
        </w:numPr>
        <w:tabs>
          <w:tab w:val="left" w:pos="2400"/>
        </w:tabs>
        <w:ind w:left="851"/>
        <w:rPr>
          <w:rFonts w:ascii="Arial" w:hAnsi="Arial" w:cs="Arial"/>
          <w:sz w:val="24"/>
          <w:szCs w:val="24"/>
        </w:rPr>
      </w:pPr>
      <w:r>
        <w:rPr>
          <w:rFonts w:ascii="Arial" w:hAnsi="Arial" w:cs="Arial"/>
          <w:sz w:val="24"/>
          <w:szCs w:val="24"/>
        </w:rPr>
        <w:t>Succession Procedure</w:t>
      </w:r>
    </w:p>
    <w:p w14:paraId="1B216EA0" w14:textId="0DC7BA3C" w:rsidR="00A06708" w:rsidRDefault="00A06708" w:rsidP="004D42B8">
      <w:pPr>
        <w:pStyle w:val="ListParagraph"/>
        <w:numPr>
          <w:ilvl w:val="0"/>
          <w:numId w:val="11"/>
        </w:numPr>
        <w:tabs>
          <w:tab w:val="left" w:pos="2400"/>
        </w:tabs>
        <w:ind w:left="851"/>
        <w:rPr>
          <w:rFonts w:ascii="Arial" w:hAnsi="Arial" w:cs="Arial"/>
          <w:sz w:val="24"/>
          <w:szCs w:val="24"/>
        </w:rPr>
      </w:pPr>
      <w:r>
        <w:rPr>
          <w:rFonts w:ascii="Arial" w:hAnsi="Arial" w:cs="Arial"/>
          <w:sz w:val="24"/>
          <w:szCs w:val="24"/>
        </w:rPr>
        <w:t>Allocations Policy and Procedure</w:t>
      </w:r>
    </w:p>
    <w:p w14:paraId="42404A04" w14:textId="4C97CBB0" w:rsidR="00A06708" w:rsidRPr="00C00BD3" w:rsidRDefault="00A06708" w:rsidP="00C00BD3">
      <w:pPr>
        <w:pStyle w:val="ListParagraph"/>
        <w:numPr>
          <w:ilvl w:val="0"/>
          <w:numId w:val="11"/>
        </w:numPr>
        <w:tabs>
          <w:tab w:val="left" w:pos="2400"/>
        </w:tabs>
        <w:ind w:left="851"/>
        <w:rPr>
          <w:rFonts w:ascii="Arial" w:hAnsi="Arial" w:cs="Arial"/>
          <w:sz w:val="24"/>
          <w:szCs w:val="24"/>
        </w:rPr>
      </w:pPr>
      <w:r>
        <w:rPr>
          <w:rFonts w:ascii="Arial" w:hAnsi="Arial" w:cs="Arial"/>
          <w:sz w:val="24"/>
          <w:szCs w:val="24"/>
        </w:rPr>
        <w:t xml:space="preserve">Mutual Exchange Policy </w:t>
      </w:r>
    </w:p>
    <w:p w14:paraId="5517C79D" w14:textId="77777777" w:rsidR="009E1D42" w:rsidRPr="002D65D7" w:rsidRDefault="009E1D42" w:rsidP="009E1D42">
      <w:pPr>
        <w:pStyle w:val="ListParagraph"/>
        <w:tabs>
          <w:tab w:val="left" w:pos="2400"/>
        </w:tabs>
        <w:ind w:left="567"/>
        <w:rPr>
          <w:rFonts w:ascii="Arial" w:hAnsi="Arial" w:cs="Arial"/>
          <w:b/>
          <w:sz w:val="24"/>
          <w:szCs w:val="24"/>
        </w:rPr>
      </w:pPr>
    </w:p>
    <w:p w14:paraId="0C51C50E" w14:textId="77777777" w:rsidR="002D65D7" w:rsidRPr="002D65D7" w:rsidRDefault="002D65D7" w:rsidP="002D65D7">
      <w:pPr>
        <w:pStyle w:val="ListParagraph"/>
        <w:rPr>
          <w:rFonts w:ascii="Arial" w:hAnsi="Arial" w:cs="Arial"/>
          <w:b/>
          <w:sz w:val="24"/>
          <w:szCs w:val="24"/>
        </w:rPr>
      </w:pPr>
    </w:p>
    <w:p w14:paraId="38015698" w14:textId="77777777" w:rsidR="002D65D7" w:rsidRPr="00F64273" w:rsidRDefault="002D65D7" w:rsidP="002D65D7">
      <w:pPr>
        <w:pStyle w:val="ListParagraph"/>
        <w:tabs>
          <w:tab w:val="left" w:pos="2400"/>
        </w:tabs>
        <w:ind w:left="567"/>
        <w:rPr>
          <w:rFonts w:ascii="Arial" w:hAnsi="Arial" w:cs="Arial"/>
          <w:b/>
          <w:sz w:val="24"/>
          <w:szCs w:val="24"/>
        </w:rPr>
      </w:pPr>
    </w:p>
    <w:p w14:paraId="2663DB03" w14:textId="77777777" w:rsidR="002D5BB4" w:rsidRPr="00B962CE" w:rsidRDefault="002D5BB4" w:rsidP="008E26EC">
      <w:pPr>
        <w:pStyle w:val="ListParagraph"/>
        <w:tabs>
          <w:tab w:val="left" w:pos="2400"/>
        </w:tabs>
        <w:ind w:left="567" w:hanging="567"/>
        <w:rPr>
          <w:rFonts w:ascii="Arial" w:hAnsi="Arial" w:cs="Arial"/>
          <w:b/>
          <w:sz w:val="24"/>
          <w:szCs w:val="24"/>
        </w:rPr>
      </w:pPr>
    </w:p>
    <w:p w14:paraId="5FD5DB1A" w14:textId="77777777" w:rsidR="002D5BB4" w:rsidRPr="00B962CE" w:rsidRDefault="002D5BB4" w:rsidP="008E26EC">
      <w:pPr>
        <w:pStyle w:val="ListParagraph"/>
        <w:tabs>
          <w:tab w:val="left" w:pos="2400"/>
        </w:tabs>
        <w:ind w:left="567" w:hanging="567"/>
        <w:rPr>
          <w:rFonts w:ascii="Arial" w:hAnsi="Arial" w:cs="Arial"/>
          <w:b/>
          <w:sz w:val="24"/>
          <w:szCs w:val="24"/>
        </w:rPr>
      </w:pPr>
    </w:p>
    <w:sectPr w:rsidR="002D5BB4" w:rsidRPr="00B962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476"/>
    <w:multiLevelType w:val="hybridMultilevel"/>
    <w:tmpl w:val="0966FE6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1420377F"/>
    <w:multiLevelType w:val="hybridMultilevel"/>
    <w:tmpl w:val="77EE6C9C"/>
    <w:lvl w:ilvl="0" w:tplc="ABB016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9C6768"/>
    <w:multiLevelType w:val="hybridMultilevel"/>
    <w:tmpl w:val="86FC1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8630EE"/>
    <w:multiLevelType w:val="multilevel"/>
    <w:tmpl w:val="A10480C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15:restartNumberingAfterBreak="0">
    <w:nsid w:val="44DC7377"/>
    <w:multiLevelType w:val="multilevel"/>
    <w:tmpl w:val="DF16F5E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E387E70"/>
    <w:multiLevelType w:val="hybridMultilevel"/>
    <w:tmpl w:val="1D7EB08E"/>
    <w:lvl w:ilvl="0" w:tplc="DA62A5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A077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AC2E89"/>
    <w:multiLevelType w:val="hybridMultilevel"/>
    <w:tmpl w:val="0ACA4C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E0A6EB2"/>
    <w:multiLevelType w:val="multilevel"/>
    <w:tmpl w:val="496877F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ABC6FF2"/>
    <w:multiLevelType w:val="hybridMultilevel"/>
    <w:tmpl w:val="DB2259D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0" w15:restartNumberingAfterBreak="0">
    <w:nsid w:val="7F7925F4"/>
    <w:multiLevelType w:val="hybridMultilevel"/>
    <w:tmpl w:val="98FED7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7"/>
  </w:num>
  <w:num w:numId="6">
    <w:abstractNumId w:val="1"/>
  </w:num>
  <w:num w:numId="7">
    <w:abstractNumId w:val="0"/>
  </w:num>
  <w:num w:numId="8">
    <w:abstractNumId w:val="9"/>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661"/>
    <w:rsid w:val="00001D1B"/>
    <w:rsid w:val="00032FAF"/>
    <w:rsid w:val="00057CC0"/>
    <w:rsid w:val="00074937"/>
    <w:rsid w:val="000A6825"/>
    <w:rsid w:val="000C242A"/>
    <w:rsid w:val="000E22E2"/>
    <w:rsid w:val="000E362B"/>
    <w:rsid w:val="00132E0F"/>
    <w:rsid w:val="00173F8B"/>
    <w:rsid w:val="001B64A3"/>
    <w:rsid w:val="001D0B62"/>
    <w:rsid w:val="001F5216"/>
    <w:rsid w:val="00263A74"/>
    <w:rsid w:val="002973E9"/>
    <w:rsid w:val="002B01B6"/>
    <w:rsid w:val="002B3959"/>
    <w:rsid w:val="002D5BB4"/>
    <w:rsid w:val="002D65D7"/>
    <w:rsid w:val="0030159E"/>
    <w:rsid w:val="003054C2"/>
    <w:rsid w:val="00333D78"/>
    <w:rsid w:val="00377ECA"/>
    <w:rsid w:val="00381BCC"/>
    <w:rsid w:val="00395D78"/>
    <w:rsid w:val="003C3177"/>
    <w:rsid w:val="003C793B"/>
    <w:rsid w:val="0040560E"/>
    <w:rsid w:val="0041519D"/>
    <w:rsid w:val="00460CA3"/>
    <w:rsid w:val="004D42B8"/>
    <w:rsid w:val="004E734F"/>
    <w:rsid w:val="00526FA7"/>
    <w:rsid w:val="005570FC"/>
    <w:rsid w:val="005600C1"/>
    <w:rsid w:val="005B5BB2"/>
    <w:rsid w:val="005B61A2"/>
    <w:rsid w:val="005E637C"/>
    <w:rsid w:val="005E7CEE"/>
    <w:rsid w:val="006050C6"/>
    <w:rsid w:val="00632EDF"/>
    <w:rsid w:val="006370BC"/>
    <w:rsid w:val="00641E24"/>
    <w:rsid w:val="006650B0"/>
    <w:rsid w:val="00685FC3"/>
    <w:rsid w:val="006A32E8"/>
    <w:rsid w:val="0071763C"/>
    <w:rsid w:val="00722EF8"/>
    <w:rsid w:val="00766358"/>
    <w:rsid w:val="0077213E"/>
    <w:rsid w:val="00794F55"/>
    <w:rsid w:val="007A4CA6"/>
    <w:rsid w:val="007E1406"/>
    <w:rsid w:val="008017C7"/>
    <w:rsid w:val="00873A20"/>
    <w:rsid w:val="008B2704"/>
    <w:rsid w:val="008E26EC"/>
    <w:rsid w:val="009517AD"/>
    <w:rsid w:val="00952A60"/>
    <w:rsid w:val="0095554C"/>
    <w:rsid w:val="00973163"/>
    <w:rsid w:val="00993859"/>
    <w:rsid w:val="0099684C"/>
    <w:rsid w:val="009A135E"/>
    <w:rsid w:val="009B3B0B"/>
    <w:rsid w:val="009E1D42"/>
    <w:rsid w:val="00A06708"/>
    <w:rsid w:val="00A17EE8"/>
    <w:rsid w:val="00A23A02"/>
    <w:rsid w:val="00A37262"/>
    <w:rsid w:val="00A5230E"/>
    <w:rsid w:val="00A71F4E"/>
    <w:rsid w:val="00A91A58"/>
    <w:rsid w:val="00AA0F8A"/>
    <w:rsid w:val="00AA68F2"/>
    <w:rsid w:val="00AA6FF4"/>
    <w:rsid w:val="00AD0679"/>
    <w:rsid w:val="00AD337D"/>
    <w:rsid w:val="00AF076A"/>
    <w:rsid w:val="00B521DC"/>
    <w:rsid w:val="00B54191"/>
    <w:rsid w:val="00B60419"/>
    <w:rsid w:val="00B84A75"/>
    <w:rsid w:val="00B962CE"/>
    <w:rsid w:val="00BA38A2"/>
    <w:rsid w:val="00BB0271"/>
    <w:rsid w:val="00BD5AC1"/>
    <w:rsid w:val="00BF383C"/>
    <w:rsid w:val="00C00BD3"/>
    <w:rsid w:val="00C349AB"/>
    <w:rsid w:val="00C818D2"/>
    <w:rsid w:val="00C86B97"/>
    <w:rsid w:val="00C93664"/>
    <w:rsid w:val="00CE6661"/>
    <w:rsid w:val="00CF22CB"/>
    <w:rsid w:val="00CF7D5C"/>
    <w:rsid w:val="00D22BEE"/>
    <w:rsid w:val="00DA346F"/>
    <w:rsid w:val="00DA3B71"/>
    <w:rsid w:val="00DB2AE9"/>
    <w:rsid w:val="00DD43E5"/>
    <w:rsid w:val="00E04D23"/>
    <w:rsid w:val="00E33F07"/>
    <w:rsid w:val="00E365C7"/>
    <w:rsid w:val="00E4004E"/>
    <w:rsid w:val="00E67F68"/>
    <w:rsid w:val="00E75C04"/>
    <w:rsid w:val="00EA34F0"/>
    <w:rsid w:val="00EB5823"/>
    <w:rsid w:val="00F16FAB"/>
    <w:rsid w:val="00F22EDE"/>
    <w:rsid w:val="00F27388"/>
    <w:rsid w:val="00F36FB8"/>
    <w:rsid w:val="00F52767"/>
    <w:rsid w:val="00F6342A"/>
    <w:rsid w:val="00F64273"/>
    <w:rsid w:val="00F87061"/>
    <w:rsid w:val="00FB10D1"/>
    <w:rsid w:val="00FD5CF5"/>
    <w:rsid w:val="00FE4208"/>
    <w:rsid w:val="00FE5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05D04"/>
  <w15:docId w15:val="{D4E61B64-DC0D-4DF1-9F73-14C2C4AC6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661"/>
    <w:rPr>
      <w:rFonts w:ascii="Tahoma" w:hAnsi="Tahoma" w:cs="Tahoma"/>
      <w:sz w:val="16"/>
      <w:szCs w:val="16"/>
    </w:rPr>
  </w:style>
  <w:style w:type="table" w:styleId="TableGrid">
    <w:name w:val="Table Grid"/>
    <w:basedOn w:val="TableNormal"/>
    <w:uiPriority w:val="59"/>
    <w:rsid w:val="00CE6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734F"/>
    <w:pPr>
      <w:ind w:left="720"/>
      <w:contextualSpacing/>
    </w:pPr>
  </w:style>
  <w:style w:type="character" w:styleId="CommentReference">
    <w:name w:val="annotation reference"/>
    <w:basedOn w:val="DefaultParagraphFont"/>
    <w:uiPriority w:val="99"/>
    <w:semiHidden/>
    <w:unhideWhenUsed/>
    <w:rsid w:val="00A71F4E"/>
    <w:rPr>
      <w:sz w:val="16"/>
      <w:szCs w:val="16"/>
    </w:rPr>
  </w:style>
  <w:style w:type="paragraph" w:styleId="CommentText">
    <w:name w:val="annotation text"/>
    <w:basedOn w:val="Normal"/>
    <w:link w:val="CommentTextChar"/>
    <w:uiPriority w:val="99"/>
    <w:semiHidden/>
    <w:unhideWhenUsed/>
    <w:rsid w:val="00A71F4E"/>
    <w:pPr>
      <w:spacing w:line="240" w:lineRule="auto"/>
    </w:pPr>
    <w:rPr>
      <w:sz w:val="20"/>
      <w:szCs w:val="20"/>
    </w:rPr>
  </w:style>
  <w:style w:type="character" w:customStyle="1" w:styleId="CommentTextChar">
    <w:name w:val="Comment Text Char"/>
    <w:basedOn w:val="DefaultParagraphFont"/>
    <w:link w:val="CommentText"/>
    <w:uiPriority w:val="99"/>
    <w:semiHidden/>
    <w:rsid w:val="00A71F4E"/>
    <w:rPr>
      <w:sz w:val="20"/>
      <w:szCs w:val="20"/>
    </w:rPr>
  </w:style>
  <w:style w:type="paragraph" w:styleId="CommentSubject">
    <w:name w:val="annotation subject"/>
    <w:basedOn w:val="CommentText"/>
    <w:next w:val="CommentText"/>
    <w:link w:val="CommentSubjectChar"/>
    <w:uiPriority w:val="99"/>
    <w:semiHidden/>
    <w:unhideWhenUsed/>
    <w:rsid w:val="00A71F4E"/>
    <w:rPr>
      <w:b/>
      <w:bCs/>
    </w:rPr>
  </w:style>
  <w:style w:type="character" w:customStyle="1" w:styleId="CommentSubjectChar">
    <w:name w:val="Comment Subject Char"/>
    <w:basedOn w:val="CommentTextChar"/>
    <w:link w:val="CommentSubject"/>
    <w:uiPriority w:val="99"/>
    <w:semiHidden/>
    <w:rsid w:val="00A71F4E"/>
    <w:rPr>
      <w:b/>
      <w:bCs/>
      <w:sz w:val="20"/>
      <w:szCs w:val="20"/>
    </w:rPr>
  </w:style>
  <w:style w:type="character" w:styleId="Hyperlink">
    <w:name w:val="Hyperlink"/>
    <w:basedOn w:val="DefaultParagraphFont"/>
    <w:uiPriority w:val="99"/>
    <w:unhideWhenUsed/>
    <w:rsid w:val="00A71F4E"/>
    <w:rPr>
      <w:color w:val="0000FF" w:themeColor="hyperlink"/>
      <w:u w:val="single"/>
    </w:rPr>
  </w:style>
  <w:style w:type="character" w:styleId="UnresolvedMention">
    <w:name w:val="Unresolved Mention"/>
    <w:basedOn w:val="DefaultParagraphFont"/>
    <w:uiPriority w:val="99"/>
    <w:semiHidden/>
    <w:unhideWhenUsed/>
    <w:rsid w:val="00A71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63F9D-4DE5-4ACE-811E-9A49E3C6C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Harries</dc:creator>
  <cp:lastModifiedBy>Niamh Mannion</cp:lastModifiedBy>
  <cp:revision>2</cp:revision>
  <dcterms:created xsi:type="dcterms:W3CDTF">2023-01-20T10:33:00Z</dcterms:created>
  <dcterms:modified xsi:type="dcterms:W3CDTF">2023-01-20T10:33:00Z</dcterms:modified>
</cp:coreProperties>
</file>