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3BDD" w14:textId="508603DD" w:rsidR="00DA560D" w:rsidRPr="00126155" w:rsidRDefault="00DA560D" w:rsidP="00AE63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pPr w:leftFromText="180" w:rightFromText="180" w:horzAnchor="margin" w:tblpY="-765"/>
        <w:tblW w:w="949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2421"/>
        <w:gridCol w:w="1685"/>
        <w:gridCol w:w="767"/>
        <w:gridCol w:w="800"/>
        <w:gridCol w:w="1835"/>
        <w:gridCol w:w="1985"/>
      </w:tblGrid>
      <w:tr w:rsidR="00DA560D" w:rsidRPr="00126155" w14:paraId="4E319F1A" w14:textId="77777777" w:rsidTr="007C6C69">
        <w:tc>
          <w:tcPr>
            <w:tcW w:w="4873" w:type="dxa"/>
            <w:gridSpan w:val="3"/>
          </w:tcPr>
          <w:p w14:paraId="5E480337" w14:textId="77777777" w:rsidR="00DA560D" w:rsidRPr="00126155" w:rsidRDefault="00DA560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A601CD" w14:textId="6A8192FF" w:rsidR="00E40F26" w:rsidRDefault="00E40F26" w:rsidP="00E40F2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Hexagon</w:t>
            </w:r>
            <w:r w:rsidR="000B5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’s </w:t>
            </w:r>
            <w:r w:rsidR="00E968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Customer Services Committee </w:t>
            </w:r>
            <w:r w:rsidR="000B5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5119126" w14:textId="00DAE8B3" w:rsidR="00DA560D" w:rsidRPr="00126155" w:rsidRDefault="00DA560D" w:rsidP="00E40F2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4620" w:type="dxa"/>
            <w:gridSpan w:val="3"/>
          </w:tcPr>
          <w:p w14:paraId="0DFA162E" w14:textId="77777777" w:rsidR="00DA560D" w:rsidRPr="00126155" w:rsidRDefault="00DA56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6155">
              <w:rPr>
                <w:noProof/>
                <w:sz w:val="24"/>
                <w:szCs w:val="24"/>
              </w:rPr>
              <w:drawing>
                <wp:inline distT="0" distB="0" distL="0" distR="0" wp14:anchorId="2B35786F" wp14:editId="3D59F9F0">
                  <wp:extent cx="1743081" cy="749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102" cy="75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60D" w:rsidRPr="00126155" w14:paraId="2C83F2AB" w14:textId="77777777" w:rsidTr="007C6C69">
        <w:tc>
          <w:tcPr>
            <w:tcW w:w="2421" w:type="dxa"/>
          </w:tcPr>
          <w:p w14:paraId="60B191B8" w14:textId="77777777" w:rsidR="00DA560D" w:rsidRPr="00126155" w:rsidRDefault="00DA560D">
            <w:pPr>
              <w:spacing w:line="276" w:lineRule="auto"/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</w:pPr>
            <w:r w:rsidRPr="00126155"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  <w:t>Agenda Item</w:t>
            </w:r>
          </w:p>
        </w:tc>
        <w:tc>
          <w:tcPr>
            <w:tcW w:w="7072" w:type="dxa"/>
            <w:gridSpan w:val="5"/>
          </w:tcPr>
          <w:p w14:paraId="1730218E" w14:textId="38779F9B" w:rsidR="00DA560D" w:rsidRPr="00126155" w:rsidRDefault="00DA56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60D" w:rsidRPr="00126155" w14:paraId="16470551" w14:textId="77777777" w:rsidTr="007C6C69">
        <w:tc>
          <w:tcPr>
            <w:tcW w:w="2421" w:type="dxa"/>
          </w:tcPr>
          <w:p w14:paraId="5D0158CB" w14:textId="77777777" w:rsidR="00DA560D" w:rsidRPr="00126155" w:rsidRDefault="00DA560D">
            <w:pPr>
              <w:spacing w:line="276" w:lineRule="auto"/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</w:pPr>
            <w:r w:rsidRPr="00126155"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  <w:t>Report Title</w:t>
            </w:r>
          </w:p>
        </w:tc>
        <w:tc>
          <w:tcPr>
            <w:tcW w:w="7072" w:type="dxa"/>
            <w:gridSpan w:val="5"/>
          </w:tcPr>
          <w:p w14:paraId="17B85950" w14:textId="3EAB5F97" w:rsidR="00DA560D" w:rsidRPr="00126155" w:rsidRDefault="00FB2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Hearing the customer voice </w:t>
            </w:r>
          </w:p>
        </w:tc>
      </w:tr>
      <w:tr w:rsidR="007C6C69" w:rsidRPr="00126155" w14:paraId="35E7D441" w14:textId="45054F65" w:rsidTr="007C6C69">
        <w:tc>
          <w:tcPr>
            <w:tcW w:w="2421" w:type="dxa"/>
          </w:tcPr>
          <w:p w14:paraId="3DA3B131" w14:textId="77777777" w:rsidR="007C6C69" w:rsidRPr="00126155" w:rsidRDefault="007C6C69" w:rsidP="007C6C69">
            <w:pPr>
              <w:spacing w:line="276" w:lineRule="auto"/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</w:pPr>
            <w:r w:rsidRPr="00126155"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  <w:t>Purpose</w:t>
            </w:r>
          </w:p>
        </w:tc>
        <w:tc>
          <w:tcPr>
            <w:tcW w:w="1685" w:type="dxa"/>
          </w:tcPr>
          <w:p w14:paraId="40BD36B0" w14:textId="23DBDE5E" w:rsidR="007C6C69" w:rsidRPr="00126155" w:rsidRDefault="007C6C69" w:rsidP="007C6C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155">
              <w:rPr>
                <w:rFonts w:ascii="Arial" w:hAnsi="Arial" w:cs="Arial"/>
                <w:sz w:val="24"/>
                <w:szCs w:val="24"/>
              </w:rPr>
              <w:t>Discussion</w:t>
            </w:r>
            <w:r w:rsidRPr="0012615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44008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0D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567" w:type="dxa"/>
            <w:gridSpan w:val="2"/>
          </w:tcPr>
          <w:p w14:paraId="77C3A8EF" w14:textId="594AA2F9" w:rsidR="007C6C69" w:rsidRPr="00126155" w:rsidRDefault="007C6C69" w:rsidP="007C6C69">
            <w:pPr>
              <w:rPr>
                <w:sz w:val="24"/>
                <w:szCs w:val="24"/>
              </w:rPr>
            </w:pPr>
            <w:r w:rsidRPr="00126155">
              <w:rPr>
                <w:rFonts w:ascii="Arial" w:hAnsi="Arial" w:cs="Arial"/>
                <w:sz w:val="24"/>
                <w:szCs w:val="24"/>
              </w:rPr>
              <w:t xml:space="preserve">Decision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364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0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35" w:type="dxa"/>
          </w:tcPr>
          <w:p w14:paraId="2834D176" w14:textId="6C8D4323" w:rsidR="007C6C69" w:rsidRPr="00126155" w:rsidRDefault="007C6C69" w:rsidP="007C6C69">
            <w:pPr>
              <w:rPr>
                <w:sz w:val="24"/>
                <w:szCs w:val="24"/>
              </w:rPr>
            </w:pPr>
            <w:r w:rsidRPr="00126155"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0148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0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0D54606E" w14:textId="5614ADD8" w:rsidR="007C6C69" w:rsidRPr="00126155" w:rsidRDefault="007C6C69" w:rsidP="007C6C69">
            <w:pPr>
              <w:rPr>
                <w:sz w:val="24"/>
                <w:szCs w:val="24"/>
              </w:rPr>
            </w:pPr>
            <w:r w:rsidRPr="00126155">
              <w:rPr>
                <w:rFonts w:ascii="Arial" w:hAnsi="Arial" w:cs="Arial"/>
                <w:sz w:val="24"/>
                <w:szCs w:val="24"/>
              </w:rPr>
              <w:t xml:space="preserve">Approval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176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6C69" w:rsidRPr="00126155" w14:paraId="164A30F6" w14:textId="77777777" w:rsidTr="007C6C69">
        <w:tc>
          <w:tcPr>
            <w:tcW w:w="2421" w:type="dxa"/>
          </w:tcPr>
          <w:p w14:paraId="19C6A50C" w14:textId="77777777" w:rsidR="007C6C69" w:rsidRPr="00126155" w:rsidRDefault="007C6C69" w:rsidP="007C6C69">
            <w:pPr>
              <w:spacing w:line="276" w:lineRule="auto"/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</w:pPr>
            <w:r w:rsidRPr="00126155"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  <w:t>Author(s):</w:t>
            </w:r>
          </w:p>
        </w:tc>
        <w:tc>
          <w:tcPr>
            <w:tcW w:w="7072" w:type="dxa"/>
            <w:gridSpan w:val="5"/>
          </w:tcPr>
          <w:p w14:paraId="74B67242" w14:textId="1C5873BC" w:rsidR="00375CD0" w:rsidRPr="00753AAF" w:rsidRDefault="007C6C69" w:rsidP="00375CD0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61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Andy Vincent, Operations Director </w:t>
            </w:r>
          </w:p>
        </w:tc>
      </w:tr>
      <w:tr w:rsidR="007C6C69" w:rsidRPr="00126155" w14:paraId="4F76DA9F" w14:textId="77777777" w:rsidTr="007C6C69">
        <w:tc>
          <w:tcPr>
            <w:tcW w:w="2421" w:type="dxa"/>
          </w:tcPr>
          <w:p w14:paraId="3744FEE5" w14:textId="77777777" w:rsidR="007C6C69" w:rsidRPr="00126155" w:rsidRDefault="007C6C69" w:rsidP="007C6C69">
            <w:pPr>
              <w:spacing w:line="276" w:lineRule="auto"/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</w:pPr>
            <w:r w:rsidRPr="00126155"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  <w:t xml:space="preserve">Contact info </w:t>
            </w:r>
          </w:p>
        </w:tc>
        <w:tc>
          <w:tcPr>
            <w:tcW w:w="3252" w:type="dxa"/>
            <w:gridSpan w:val="3"/>
          </w:tcPr>
          <w:p w14:paraId="6CF37380" w14:textId="4ED59B3E" w:rsidR="007C6C69" w:rsidRPr="00126155" w:rsidRDefault="007C6C69" w:rsidP="007C6C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155">
              <w:rPr>
                <w:rFonts w:ascii="Arial" w:hAnsi="Arial" w:cs="Arial"/>
                <w:sz w:val="24"/>
                <w:szCs w:val="24"/>
              </w:rPr>
              <w:t>avincent@hexagon.org.uk</w:t>
            </w:r>
          </w:p>
        </w:tc>
        <w:tc>
          <w:tcPr>
            <w:tcW w:w="3820" w:type="dxa"/>
            <w:gridSpan w:val="2"/>
          </w:tcPr>
          <w:p w14:paraId="52A2ED4F" w14:textId="741E0DC4" w:rsidR="007C6C69" w:rsidRPr="00126155" w:rsidRDefault="007C6C69" w:rsidP="007C6C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155">
              <w:rPr>
                <w:rFonts w:ascii="Arial" w:hAnsi="Arial" w:cs="Arial"/>
                <w:sz w:val="24"/>
                <w:szCs w:val="24"/>
              </w:rPr>
              <w:t xml:space="preserve">T: </w:t>
            </w:r>
            <w:r w:rsidR="00753AAF" w:rsidRPr="00B31847">
              <w:rPr>
                <w:rFonts w:ascii="Arial" w:eastAsia="Calibri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020 8768 7914</w:t>
            </w:r>
          </w:p>
        </w:tc>
      </w:tr>
      <w:tr w:rsidR="007C6C69" w:rsidRPr="00126155" w14:paraId="35A86987" w14:textId="77777777" w:rsidTr="007C6C69">
        <w:tc>
          <w:tcPr>
            <w:tcW w:w="2421" w:type="dxa"/>
          </w:tcPr>
          <w:p w14:paraId="1DADE752" w14:textId="77777777" w:rsidR="007C6C69" w:rsidRPr="00126155" w:rsidRDefault="007C6C69" w:rsidP="007C6C69">
            <w:pPr>
              <w:spacing w:line="276" w:lineRule="auto"/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</w:pPr>
            <w:r w:rsidRPr="00126155"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  <w:t>Appendix(</w:t>
            </w:r>
            <w:proofErr w:type="spellStart"/>
            <w:r w:rsidRPr="00126155"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  <w:t>ces</w:t>
            </w:r>
            <w:proofErr w:type="spellEnd"/>
            <w:r w:rsidRPr="00126155">
              <w:rPr>
                <w:rFonts w:ascii="Arial" w:hAnsi="Arial" w:cs="Arial"/>
                <w:b/>
                <w:bCs/>
                <w:color w:val="008080"/>
                <w:sz w:val="24"/>
                <w:szCs w:val="24"/>
              </w:rPr>
              <w:t>)</w:t>
            </w:r>
          </w:p>
        </w:tc>
        <w:tc>
          <w:tcPr>
            <w:tcW w:w="7072" w:type="dxa"/>
            <w:gridSpan w:val="5"/>
          </w:tcPr>
          <w:p w14:paraId="338FFB4C" w14:textId="4F7EFE25" w:rsidR="007C6C69" w:rsidRPr="00126155" w:rsidRDefault="007C6C69" w:rsidP="007C6C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9E1B44" w14:textId="665141C5" w:rsidR="007C6C69" w:rsidRPr="00126155" w:rsidRDefault="00753AAF" w:rsidP="007C6C69">
      <w:pPr>
        <w:pStyle w:val="Headings"/>
        <w:numPr>
          <w:ilvl w:val="0"/>
          <w:numId w:val="25"/>
        </w:numPr>
        <w:ind w:left="284" w:hanging="284"/>
        <w:rPr>
          <w:lang w:eastAsia="en-GB"/>
        </w:rPr>
      </w:pPr>
      <w:r>
        <w:rPr>
          <w:lang w:eastAsia="en-GB"/>
        </w:rPr>
        <w:t>R</w:t>
      </w:r>
      <w:r w:rsidR="007C6C69" w:rsidRPr="00126155">
        <w:rPr>
          <w:lang w:eastAsia="en-GB"/>
        </w:rPr>
        <w:t xml:space="preserve">ecommendations </w:t>
      </w:r>
    </w:p>
    <w:p w14:paraId="3025E545" w14:textId="77777777" w:rsidR="007C6C69" w:rsidRPr="008022C2" w:rsidRDefault="007C6C69" w:rsidP="007C6C69">
      <w:pPr>
        <w:pStyle w:val="ListParagraph"/>
        <w:ind w:left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A692E59" w14:textId="549DB16D" w:rsidR="00F335F6" w:rsidRPr="008022C2" w:rsidRDefault="00FA70D4">
      <w:pPr>
        <w:pStyle w:val="ListParagraph"/>
        <w:numPr>
          <w:ilvl w:val="1"/>
          <w:numId w:val="25"/>
        </w:numPr>
        <w:spacing w:after="0" w:line="240" w:lineRule="auto"/>
        <w:ind w:left="360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022C2">
        <w:rPr>
          <w:rFonts w:ascii="Arial" w:eastAsia="Times New Roman" w:hAnsi="Arial" w:cs="Arial"/>
          <w:sz w:val="24"/>
          <w:szCs w:val="24"/>
          <w:lang w:eastAsia="en-GB"/>
        </w:rPr>
        <w:t xml:space="preserve">It is recommended that </w:t>
      </w:r>
      <w:r w:rsidR="00F335F6" w:rsidRPr="008022C2">
        <w:rPr>
          <w:rFonts w:ascii="Arial" w:eastAsia="Times New Roman" w:hAnsi="Arial" w:cs="Arial"/>
          <w:sz w:val="24"/>
          <w:szCs w:val="24"/>
          <w:lang w:eastAsia="en-GB"/>
        </w:rPr>
        <w:t>committee members note th</w:t>
      </w:r>
      <w:r w:rsidR="00FB209D" w:rsidRPr="008022C2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F335F6" w:rsidRPr="008022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B209D" w:rsidRPr="008022C2">
        <w:rPr>
          <w:rFonts w:ascii="Arial" w:eastAsia="Times New Roman" w:hAnsi="Arial" w:cs="Arial"/>
          <w:sz w:val="24"/>
          <w:szCs w:val="24"/>
          <w:lang w:eastAsia="en-GB"/>
        </w:rPr>
        <w:t xml:space="preserve">customer contact and feedback received by Hexagon between DATE and DATE. </w:t>
      </w:r>
    </w:p>
    <w:p w14:paraId="40AC8A26" w14:textId="77777777" w:rsidR="00FB209D" w:rsidRPr="008022C2" w:rsidRDefault="00FB209D" w:rsidP="00FB209D">
      <w:pPr>
        <w:pStyle w:val="ListParagraph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711E49" w14:textId="5A67A123" w:rsidR="00FB209D" w:rsidRPr="008022C2" w:rsidRDefault="00FB209D">
      <w:pPr>
        <w:pStyle w:val="ListParagraph"/>
        <w:numPr>
          <w:ilvl w:val="1"/>
          <w:numId w:val="25"/>
        </w:numPr>
        <w:spacing w:after="0" w:line="240" w:lineRule="auto"/>
        <w:ind w:left="360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022C2">
        <w:rPr>
          <w:rFonts w:ascii="Arial" w:eastAsia="Times New Roman" w:hAnsi="Arial" w:cs="Arial"/>
          <w:sz w:val="24"/>
          <w:szCs w:val="24"/>
          <w:lang w:eastAsia="en-GB"/>
        </w:rPr>
        <w:t>Section BLANK of this report the proposed actions to address concerns raised.</w:t>
      </w:r>
    </w:p>
    <w:p w14:paraId="1B005E5E" w14:textId="77777777" w:rsidR="00FB209D" w:rsidRPr="00FB209D" w:rsidRDefault="00FB209D" w:rsidP="00FB209D">
      <w:pPr>
        <w:pStyle w:val="ListParagraph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AEE533E" w14:textId="05E96286" w:rsidR="00C12019" w:rsidRPr="00126155" w:rsidRDefault="007C6C69" w:rsidP="007C6C69">
      <w:pPr>
        <w:pStyle w:val="Headings"/>
        <w:numPr>
          <w:ilvl w:val="0"/>
          <w:numId w:val="25"/>
        </w:numPr>
        <w:ind w:left="284" w:hanging="284"/>
        <w:rPr>
          <w:lang w:eastAsia="en-GB"/>
        </w:rPr>
      </w:pPr>
      <w:r w:rsidRPr="00126155">
        <w:rPr>
          <w:lang w:eastAsia="en-GB"/>
        </w:rPr>
        <w:t xml:space="preserve">Purpose </w:t>
      </w:r>
    </w:p>
    <w:p w14:paraId="33FC42BF" w14:textId="77777777" w:rsidR="00C12019" w:rsidRPr="00126155" w:rsidRDefault="00C12019" w:rsidP="00AE6394">
      <w:pPr>
        <w:pStyle w:val="ListParagraph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D81D19E" w14:textId="41A74253" w:rsidR="00EE5941" w:rsidRPr="00F335F6" w:rsidRDefault="007C6C69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E61FB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purpose of this paper is </w:t>
      </w:r>
      <w:r w:rsidR="00E61FB8">
        <w:rPr>
          <w:rFonts w:ascii="Arial" w:eastAsia="Times New Roman" w:hAnsi="Arial" w:cs="Arial"/>
          <w:bCs/>
          <w:sz w:val="24"/>
          <w:szCs w:val="24"/>
          <w:lang w:eastAsia="en-GB"/>
        </w:rPr>
        <w:t>to</w:t>
      </w:r>
      <w:r w:rsidR="00EE5941">
        <w:rPr>
          <w:rFonts w:ascii="Arial" w:eastAsia="Times New Roman" w:hAnsi="Arial" w:cs="Arial"/>
          <w:bCs/>
          <w:sz w:val="24"/>
          <w:szCs w:val="24"/>
          <w:lang w:eastAsia="en-GB"/>
        </w:rPr>
        <w:t>: -</w:t>
      </w:r>
      <w:r w:rsidR="00E61FB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48A83F58" w14:textId="77777777" w:rsidR="00F335F6" w:rsidRPr="00EE5941" w:rsidRDefault="00F335F6" w:rsidP="00F335F6">
      <w:pPr>
        <w:pStyle w:val="ListParagraph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14:paraId="767002DC" w14:textId="205E13D3" w:rsidR="00FB209D" w:rsidRDefault="00FB209D" w:rsidP="00F335F6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Collate the customer contact </w:t>
      </w:r>
      <w:r w:rsidR="00AD4D2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themes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received by Hexagon between </w:t>
      </w:r>
      <w:r w:rsidR="00F40C4A">
        <w:rPr>
          <w:rFonts w:ascii="Arial" w:eastAsia="Times New Roman" w:hAnsi="Arial" w:cs="Arial"/>
          <w:bCs/>
          <w:sz w:val="24"/>
          <w:szCs w:val="24"/>
          <w:lang w:eastAsia="en-GB"/>
        </w:rPr>
        <w:t>November 2023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</w:t>
      </w:r>
      <w:r w:rsidR="00F40C4A">
        <w:rPr>
          <w:rFonts w:ascii="Arial" w:eastAsia="Times New Roman" w:hAnsi="Arial" w:cs="Arial"/>
          <w:bCs/>
          <w:sz w:val="24"/>
          <w:szCs w:val="24"/>
          <w:lang w:eastAsia="en-GB"/>
        </w:rPr>
        <w:t>March 2024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look at trend data. </w:t>
      </w:r>
    </w:p>
    <w:p w14:paraId="3F0AF303" w14:textId="60F0AEDB" w:rsidR="00FB209D" w:rsidRDefault="00FB209D" w:rsidP="00F335F6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Capture customer feedback received between </w:t>
      </w:r>
      <w:r w:rsidR="00F40C4A">
        <w:rPr>
          <w:rFonts w:ascii="Arial" w:eastAsia="Times New Roman" w:hAnsi="Arial" w:cs="Arial"/>
          <w:bCs/>
          <w:sz w:val="24"/>
          <w:szCs w:val="24"/>
          <w:lang w:eastAsia="en-GB"/>
        </w:rPr>
        <w:t>November 2023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</w:t>
      </w:r>
      <w:r w:rsidR="00F40C4A">
        <w:rPr>
          <w:rFonts w:ascii="Arial" w:eastAsia="Times New Roman" w:hAnsi="Arial" w:cs="Arial"/>
          <w:bCs/>
          <w:sz w:val="24"/>
          <w:szCs w:val="24"/>
          <w:lang w:eastAsia="en-GB"/>
        </w:rPr>
        <w:t>March 2024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comparing perception and transactional survey results. </w:t>
      </w:r>
    </w:p>
    <w:p w14:paraId="4717F8F5" w14:textId="3CF7842F" w:rsidR="00EE5941" w:rsidRDefault="00FB209D" w:rsidP="00F335F6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Identify</w:t>
      </w:r>
      <w:r w:rsidR="00AD4D2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themes of the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concerns raised and details actions to address them. </w:t>
      </w:r>
    </w:p>
    <w:p w14:paraId="1E95C4DF" w14:textId="77777777" w:rsidR="00E61FB8" w:rsidRPr="00126155" w:rsidRDefault="00E61FB8" w:rsidP="00E61FB8">
      <w:pPr>
        <w:spacing w:after="0" w:line="240" w:lineRule="auto"/>
        <w:textAlignment w:val="baseline"/>
        <w:rPr>
          <w:lang w:eastAsia="en-GB"/>
        </w:rPr>
      </w:pPr>
    </w:p>
    <w:p w14:paraId="64A50DA6" w14:textId="3B2FF687" w:rsidR="007C6C69" w:rsidRPr="00126155" w:rsidRDefault="007C6C69" w:rsidP="007C6C69">
      <w:pPr>
        <w:pStyle w:val="Headings"/>
        <w:numPr>
          <w:ilvl w:val="0"/>
          <w:numId w:val="25"/>
        </w:numPr>
        <w:ind w:left="284" w:hanging="284"/>
        <w:rPr>
          <w:lang w:eastAsia="en-GB"/>
        </w:rPr>
      </w:pPr>
      <w:r w:rsidRPr="00126155">
        <w:rPr>
          <w:lang w:eastAsia="en-GB"/>
        </w:rPr>
        <w:t xml:space="preserve">Background </w:t>
      </w:r>
    </w:p>
    <w:p w14:paraId="1FC9ADCD" w14:textId="28F546AC" w:rsidR="007C6C69" w:rsidRPr="00126155" w:rsidRDefault="007C6C69" w:rsidP="004C4C30">
      <w:pPr>
        <w:pStyle w:val="ListParagraph"/>
        <w:spacing w:after="0" w:line="240" w:lineRule="auto"/>
        <w:ind w:left="360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2615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28EC2058" w14:textId="1CE965D9" w:rsidR="00AD4D27" w:rsidRPr="00AD4D27" w:rsidRDefault="00AD4D27" w:rsidP="004C4C30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Hexagon captures resident contacts to the organisation via its Customer Relationship Management system and via its complaints procedure. </w:t>
      </w:r>
    </w:p>
    <w:p w14:paraId="226A2500" w14:textId="77777777" w:rsidR="00AD4D27" w:rsidRPr="00585FA0" w:rsidRDefault="00AD4D27" w:rsidP="00AD4D27">
      <w:pPr>
        <w:pStyle w:val="ListParagraph"/>
        <w:spacing w:after="0" w:line="240" w:lineRule="auto"/>
        <w:ind w:left="360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98B6071" w14:textId="4FA46512" w:rsidR="002F689F" w:rsidRPr="004B3459" w:rsidRDefault="00AD4D27" w:rsidP="004B3459">
      <w:pPr>
        <w:pStyle w:val="ListParagraph"/>
        <w:numPr>
          <w:ilvl w:val="1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71A717B">
        <w:rPr>
          <w:rFonts w:ascii="Arial" w:eastAsia="Times New Roman" w:hAnsi="Arial" w:cs="Arial"/>
          <w:sz w:val="24"/>
          <w:szCs w:val="24"/>
          <w:lang w:eastAsia="en-GB"/>
        </w:rPr>
        <w:t>Hexagon also surveys residents</w:t>
      </w:r>
      <w:r w:rsidR="00E80230">
        <w:rPr>
          <w:rFonts w:ascii="Arial" w:eastAsia="Times New Roman" w:hAnsi="Arial" w:cs="Arial"/>
          <w:sz w:val="24"/>
          <w:szCs w:val="24"/>
          <w:lang w:eastAsia="en-GB"/>
        </w:rPr>
        <w:t xml:space="preserve"> on a quarterly basis, in line with the requirements of the Tenant Satisfaction Measures, and </w:t>
      </w:r>
      <w:r w:rsidR="004B3459">
        <w:rPr>
          <w:rFonts w:ascii="Arial" w:eastAsia="Times New Roman" w:hAnsi="Arial" w:cs="Arial"/>
          <w:sz w:val="24"/>
          <w:szCs w:val="24"/>
          <w:lang w:eastAsia="en-GB"/>
        </w:rPr>
        <w:t>transactionally after a variety of interactions, including the completion of a repair works order, the completion of a call to the contact centre, and the creation of a new tenancy agreement (see Appendix 1 for full list)</w:t>
      </w:r>
      <w:r>
        <w:br/>
      </w:r>
    </w:p>
    <w:p w14:paraId="1DB3E63F" w14:textId="58FE580A" w:rsidR="003E70BD" w:rsidRPr="00126155" w:rsidRDefault="007C6C69" w:rsidP="007C6C69">
      <w:pPr>
        <w:pStyle w:val="Headings"/>
        <w:numPr>
          <w:ilvl w:val="0"/>
          <w:numId w:val="25"/>
        </w:numPr>
        <w:ind w:left="284" w:hanging="284"/>
        <w:rPr>
          <w:lang w:eastAsia="en-GB"/>
        </w:rPr>
      </w:pPr>
      <w:r w:rsidRPr="00126155">
        <w:rPr>
          <w:lang w:eastAsia="en-GB"/>
        </w:rPr>
        <w:t xml:space="preserve">Main content </w:t>
      </w:r>
    </w:p>
    <w:p w14:paraId="1361F89D" w14:textId="1F324A50" w:rsidR="00CE0742" w:rsidRPr="00126155" w:rsidRDefault="00CE0742" w:rsidP="00CC1111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9DF03B5" w14:textId="5240F4A5" w:rsidR="004A5C1A" w:rsidRDefault="004A5C1A" w:rsidP="00E60088">
      <w:pPr>
        <w:pStyle w:val="ListParagraph"/>
        <w:numPr>
          <w:ilvl w:val="1"/>
          <w:numId w:val="25"/>
        </w:numPr>
        <w:spacing w:after="240" w:line="240" w:lineRule="auto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Hexagon has </w:t>
      </w:r>
      <w:r w:rsidR="00955BB9">
        <w:rPr>
          <w:rFonts w:ascii="Arial" w:eastAsia="Times New Roman" w:hAnsi="Arial" w:cs="Arial"/>
          <w:bCs/>
          <w:sz w:val="24"/>
          <w:szCs w:val="24"/>
          <w:lang w:eastAsia="en-GB"/>
        </w:rPr>
        <w:t>begun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more systematically categorise the contact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we receive from residents, as we implement our new CRM system</w:t>
      </w:r>
      <w:r w:rsidR="00E60088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986A7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While we were recording customer contacts previously, this categorisation only began in November of 2023.</w:t>
      </w:r>
    </w:p>
    <w:p w14:paraId="3C227E2F" w14:textId="0E1191AB" w:rsidR="00E60088" w:rsidRDefault="00E60088" w:rsidP="00E60088">
      <w:pPr>
        <w:pStyle w:val="ListParagraph"/>
        <w:numPr>
          <w:ilvl w:val="1"/>
          <w:numId w:val="25"/>
        </w:numPr>
        <w:spacing w:after="240" w:line="240" w:lineRule="auto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Customer contacts are now categorised in a detailed hierarchy,</w:t>
      </w:r>
      <w:r w:rsidR="004F55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which is shown below. The first chart categorises each contact by which </w:t>
      </w:r>
      <w:r w:rsidR="00EA4309">
        <w:rPr>
          <w:rFonts w:ascii="Arial" w:eastAsia="Times New Roman" w:hAnsi="Arial" w:cs="Arial"/>
          <w:bCs/>
          <w:sz w:val="24"/>
          <w:szCs w:val="24"/>
          <w:lang w:eastAsia="en-GB"/>
        </w:rPr>
        <w:t>team</w:t>
      </w:r>
      <w:r w:rsidR="004F55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it relates to. The second</w:t>
      </w:r>
      <w:r w:rsidR="00EA430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4F55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categorises each contact according to </w:t>
      </w:r>
      <w:r w:rsidR="00EA4309">
        <w:rPr>
          <w:rFonts w:ascii="Arial" w:eastAsia="Times New Roman" w:hAnsi="Arial" w:cs="Arial"/>
          <w:bCs/>
          <w:sz w:val="24"/>
          <w:szCs w:val="24"/>
          <w:lang w:eastAsia="en-GB"/>
        </w:rPr>
        <w:t>subject</w:t>
      </w:r>
      <w:r w:rsidR="004F55C5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2DF66665" w14:textId="31FA49F3" w:rsidR="00D92034" w:rsidRDefault="00EA4309" w:rsidP="00E60088">
      <w:pPr>
        <w:pStyle w:val="ListParagraph"/>
        <w:numPr>
          <w:ilvl w:val="1"/>
          <w:numId w:val="25"/>
        </w:numPr>
        <w:spacing w:after="240" w:line="240" w:lineRule="auto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Naturally, residents contact us about many subjects, so the second chart is very busy.</w:t>
      </w:r>
      <w:r w:rsidR="00986A7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However, it can be filtered according to team</w:t>
      </w:r>
      <w:r w:rsidR="00D21D2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The third chart is a version of </w:t>
      </w:r>
      <w:r w:rsidR="00D21D2A">
        <w:rPr>
          <w:rFonts w:ascii="Arial" w:eastAsia="Times New Roman" w:hAnsi="Arial" w:cs="Arial"/>
          <w:bCs/>
          <w:sz w:val="24"/>
          <w:szCs w:val="24"/>
          <w:lang w:eastAsia="en-GB"/>
        </w:rPr>
        <w:lastRenderedPageBreak/>
        <w:t>the first chart, filtered to only show those contacts relating to the Responsive Repairs team</w:t>
      </w:r>
    </w:p>
    <w:p w14:paraId="47E79C09" w14:textId="5F622049" w:rsidR="000B3A38" w:rsidRDefault="00005EE5" w:rsidP="00E60088">
      <w:pPr>
        <w:pStyle w:val="ListParagraph"/>
        <w:numPr>
          <w:ilvl w:val="1"/>
          <w:numId w:val="25"/>
        </w:numPr>
        <w:spacing w:after="240" w:line="240" w:lineRule="auto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We are at the beginning of our journey in collecting and analysing this data to better understand the needs of our residents, but </w:t>
      </w:r>
      <w:r w:rsidR="00822262">
        <w:rPr>
          <w:rFonts w:ascii="Arial" w:eastAsia="Times New Roman" w:hAnsi="Arial" w:cs="Arial"/>
          <w:bCs/>
          <w:sz w:val="24"/>
          <w:szCs w:val="24"/>
          <w:lang w:eastAsia="en-GB"/>
        </w:rPr>
        <w:t>can already glean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some insights are apparent, including:</w:t>
      </w:r>
    </w:p>
    <w:p w14:paraId="04DEE94E" w14:textId="236E279D" w:rsidR="00005EE5" w:rsidRDefault="00E40497" w:rsidP="00005EE5">
      <w:pPr>
        <w:pStyle w:val="ListParagraph"/>
        <w:numPr>
          <w:ilvl w:val="2"/>
          <w:numId w:val="25"/>
        </w:numPr>
        <w:spacing w:after="240" w:line="240" w:lineRule="auto"/>
        <w:contextualSpacing w:val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We had over 400 contacts in February from residents regarding ongoing repair works. This represents</w:t>
      </w:r>
      <w:r w:rsidR="0080107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almost 20% of all customer contact received, and suggests that residents are not contacting Gilmartins, or if they are, are not receiving the resolution they need</w:t>
      </w:r>
    </w:p>
    <w:p w14:paraId="17B9A6E8" w14:textId="44402522" w:rsidR="00801077" w:rsidRDefault="008C1384" w:rsidP="00005EE5">
      <w:pPr>
        <w:pStyle w:val="ListParagraph"/>
        <w:numPr>
          <w:ilvl w:val="2"/>
          <w:numId w:val="25"/>
        </w:numPr>
        <w:spacing w:after="240" w:line="240" w:lineRule="auto"/>
        <w:contextualSpacing w:val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Since the categorisation has begun, </w:t>
      </w:r>
      <w:r w:rsidR="0086653E">
        <w:rPr>
          <w:rFonts w:ascii="Arial" w:eastAsia="Times New Roman" w:hAnsi="Arial" w:cs="Arial"/>
          <w:bCs/>
          <w:sz w:val="24"/>
          <w:szCs w:val="24"/>
          <w:lang w:eastAsia="en-GB"/>
        </w:rPr>
        <w:t>ASB and Parking were two of the most common reasons for residents to contact the Neighbourhoods team</w:t>
      </w:r>
      <w:r w:rsidR="008A23B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440</w:t>
      </w:r>
      <w:r w:rsidR="008A23B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and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245</w:t>
      </w:r>
      <w:r w:rsidR="008A23B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contacts, respectively)</w:t>
      </w:r>
    </w:p>
    <w:p w14:paraId="35540452" w14:textId="4D9E19C6" w:rsidR="00822262" w:rsidRDefault="00822262" w:rsidP="000A0562">
      <w:pPr>
        <w:pStyle w:val="ListParagraph"/>
        <w:numPr>
          <w:ilvl w:val="2"/>
          <w:numId w:val="25"/>
        </w:numPr>
        <w:spacing w:after="240" w:line="240" w:lineRule="auto"/>
        <w:contextualSpacing w:val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Since categorisation has begun, we</w:t>
      </w:r>
      <w:r w:rsidR="00D2763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have received very few</w:t>
      </w:r>
      <w:r w:rsidR="00E54FE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queries about service charges – just 28 out of over 1,900 contact</w:t>
      </w:r>
      <w:r w:rsidR="004008C0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E54FE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for the revenue team,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and over 12,000 across the organisation as a whole.</w:t>
      </w:r>
    </w:p>
    <w:p w14:paraId="73D6420F" w14:textId="495DDCB9" w:rsidR="000A0562" w:rsidRPr="000A0562" w:rsidRDefault="000A0562" w:rsidP="000A0562">
      <w:pPr>
        <w:pStyle w:val="ListParagraph"/>
        <w:numPr>
          <w:ilvl w:val="1"/>
          <w:numId w:val="25"/>
        </w:numPr>
        <w:spacing w:after="240" w:line="240" w:lineRule="auto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Note that these are illustrative examples of the capabilities we are building to better understand our residents, not definitive findings on which to base changes in our services.</w:t>
      </w:r>
    </w:p>
    <w:p w14:paraId="6D5BD453" w14:textId="3A8A07D3" w:rsidR="00D21D2A" w:rsidRPr="000B3A38" w:rsidRDefault="000B3A38" w:rsidP="000B3A38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0B3A3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Chart 1 – CRM Communications by Team</w:t>
      </w:r>
    </w:p>
    <w:p w14:paraId="62AC8193" w14:textId="77777777" w:rsidR="00D21D2A" w:rsidRDefault="00D21D2A" w:rsidP="00127C30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0D620692" wp14:editId="11ED02BA">
            <wp:extent cx="5731510" cy="1859280"/>
            <wp:effectExtent l="0" t="0" r="2540" b="7620"/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18092" w14:textId="0E4DD3E0" w:rsidR="00127C30" w:rsidRPr="000B3A38" w:rsidRDefault="000B3A38" w:rsidP="00127C30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0B3A3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Chart 2 – CRM Communications by Subject</w:t>
      </w:r>
    </w:p>
    <w:p w14:paraId="5577928F" w14:textId="77777777" w:rsidR="00127C30" w:rsidRDefault="00127C30" w:rsidP="00127C30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Segoe UI" w:hAnsi="Segoe UI" w:cs="Segoe UI"/>
          <w:noProof/>
          <w:color w:val="605E5C"/>
          <w:sz w:val="18"/>
          <w:szCs w:val="18"/>
        </w:rPr>
        <w:drawing>
          <wp:inline distT="0" distB="0" distL="0" distR="0" wp14:anchorId="1C2BD788" wp14:editId="5C753E36">
            <wp:extent cx="5731510" cy="2099945"/>
            <wp:effectExtent l="0" t="0" r="2540" b="0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22898" w14:textId="39835A04" w:rsidR="000B3A38" w:rsidRPr="000B3A38" w:rsidRDefault="000B3A38" w:rsidP="00127C30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0B3A3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Chart 3 – CRM Communications by Subject – Repairs Only</w:t>
      </w:r>
    </w:p>
    <w:p w14:paraId="0A53EEAC" w14:textId="77777777" w:rsidR="00127C30" w:rsidRDefault="00127C30" w:rsidP="00127C30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Segoe UI" w:hAnsi="Segoe UI" w:cs="Segoe UI"/>
          <w:noProof/>
          <w:color w:val="605E5C"/>
          <w:sz w:val="18"/>
          <w:szCs w:val="18"/>
        </w:rPr>
        <w:drawing>
          <wp:inline distT="0" distB="0" distL="0" distR="0" wp14:anchorId="5FE8209E" wp14:editId="4987979A">
            <wp:extent cx="5731510" cy="2099945"/>
            <wp:effectExtent l="0" t="0" r="2540" b="0"/>
            <wp:docPr id="6" name="Pictur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CB0AD" w14:textId="3E78B5D7" w:rsidR="00F40C4A" w:rsidRPr="003C4203" w:rsidRDefault="00F40C4A" w:rsidP="00127C30">
      <w:pPr>
        <w:pStyle w:val="ListParagraph"/>
        <w:numPr>
          <w:ilvl w:val="1"/>
          <w:numId w:val="25"/>
        </w:numPr>
        <w:spacing w:after="240" w:line="240" w:lineRule="auto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Hexagon has also begun to categorise the complaints it receives, according to the team </w:t>
      </w:r>
      <w:r w:rsidR="003C4203">
        <w:rPr>
          <w:rFonts w:ascii="Arial" w:eastAsia="Times New Roman" w:hAnsi="Arial" w:cs="Arial"/>
          <w:bCs/>
          <w:sz w:val="24"/>
          <w:szCs w:val="24"/>
          <w:lang w:eastAsia="en-GB"/>
        </w:rPr>
        <w:t>the complaint is attributable to.</w:t>
      </w:r>
      <w:r w:rsidR="0039285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As the chart below shows</w:t>
      </w:r>
    </w:p>
    <w:p w14:paraId="7FFE3878" w14:textId="7997C139" w:rsidR="000A0562" w:rsidRPr="00F67740" w:rsidRDefault="00F67740" w:rsidP="00127C30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6774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Chart 4 – Complaints Received by Team</w:t>
      </w:r>
    </w:p>
    <w:p w14:paraId="3B309FD1" w14:textId="536FDCC8" w:rsidR="00F67740" w:rsidRDefault="00F67740" w:rsidP="00127C30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0575C5EB" wp14:editId="14867BE4">
            <wp:extent cx="5731510" cy="1927860"/>
            <wp:effectExtent l="0" t="0" r="2540" b="0"/>
            <wp:docPr id="7" name="Picture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21315" w14:textId="2DF74FD6" w:rsidR="007167F0" w:rsidRDefault="00FD3ECD" w:rsidP="00F6774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57ABF455" w14:textId="1A3EE4FA" w:rsidR="007167F0" w:rsidRDefault="007167F0" w:rsidP="00FD3E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63ADCA5" w14:textId="6EFBBC76" w:rsidR="00402885" w:rsidRPr="00FA3D6C" w:rsidRDefault="0039285C" w:rsidP="009946AF">
      <w:pPr>
        <w:pStyle w:val="ListParagraph"/>
        <w:numPr>
          <w:ilvl w:val="1"/>
          <w:numId w:val="25"/>
        </w:numPr>
        <w:spacing w:after="240" w:line="240" w:lineRule="auto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As noted, Hexagon also </w:t>
      </w:r>
      <w:r w:rsidR="00402885">
        <w:rPr>
          <w:rFonts w:ascii="Arial" w:eastAsia="Times New Roman" w:hAnsi="Arial" w:cs="Arial"/>
          <w:bCs/>
          <w:sz w:val="24"/>
          <w:szCs w:val="24"/>
          <w:lang w:eastAsia="en-GB"/>
        </w:rPr>
        <w:t>collects a wide variety of survey data. The results of those surveys as of the end of January are shown below</w:t>
      </w:r>
      <w:r w:rsidR="00FA3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Note that the lettings satisfaction survey has only recently launched, so we have not yet collected enough responses to report findings from it. </w:t>
      </w:r>
      <w:r w:rsidR="00E5726C">
        <w:rPr>
          <w:rFonts w:ascii="Arial" w:eastAsia="Times New Roman" w:hAnsi="Arial" w:cs="Arial"/>
          <w:bCs/>
          <w:sz w:val="24"/>
          <w:szCs w:val="24"/>
          <w:lang w:eastAsia="en-GB"/>
        </w:rPr>
        <w:t>Transactional</w:t>
      </w:r>
      <w:r w:rsidR="00FA3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surveys for ASB</w:t>
      </w:r>
      <w:r w:rsidR="00E572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handling</w:t>
      </w:r>
      <w:r w:rsidR="00FA3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maintenance of communal areas </w:t>
      </w:r>
      <w:r w:rsidR="00E5726C">
        <w:rPr>
          <w:rFonts w:ascii="Arial" w:eastAsia="Times New Roman" w:hAnsi="Arial" w:cs="Arial"/>
          <w:bCs/>
          <w:sz w:val="24"/>
          <w:szCs w:val="24"/>
          <w:lang w:eastAsia="en-GB"/>
        </w:rPr>
        <w:t>are currently in development, and additional surveys on planned works and fire safety are also planned.</w:t>
      </w:r>
    </w:p>
    <w:tbl>
      <w:tblPr>
        <w:tblW w:w="907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048"/>
        <w:gridCol w:w="1049"/>
        <w:gridCol w:w="1049"/>
        <w:gridCol w:w="1049"/>
        <w:gridCol w:w="1049"/>
      </w:tblGrid>
      <w:tr w:rsidR="002F47CC" w:rsidRPr="00FA3D6C" w14:paraId="0FA2CDE5" w14:textId="77777777" w:rsidTr="002F47CC">
        <w:trPr>
          <w:trHeight w:val="51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9C8484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4829D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Q1 23/24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637F87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 23/24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202441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Q3 23/24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1B8CA9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Q4 23/24 QTD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EFE7F6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23/24 YTD</w:t>
            </w:r>
          </w:p>
        </w:tc>
      </w:tr>
      <w:tr w:rsidR="002F47CC" w:rsidRPr="00FA3D6C" w14:paraId="08253C26" w14:textId="77777777" w:rsidTr="00FA3D6C">
        <w:trPr>
          <w:trHeight w:val="20"/>
        </w:trPr>
        <w:tc>
          <w:tcPr>
            <w:tcW w:w="907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503C47" w14:textId="1C5E0444" w:rsidR="002F47CC" w:rsidRPr="00FA3D6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A3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Repairs satisfaction survey (transactional)</w:t>
            </w:r>
          </w:p>
        </w:tc>
      </w:tr>
      <w:tr w:rsidR="002F47CC" w:rsidRPr="00FA3D6C" w14:paraId="6F7FD47E" w14:textId="77777777" w:rsidTr="00FA3D6C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3C1889B" w14:textId="2E43B532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satisfied with last repair</w:t>
            </w:r>
          </w:p>
        </w:tc>
        <w:tc>
          <w:tcPr>
            <w:tcW w:w="104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A287E9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75.9%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44DB2D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67.6%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99058B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57.5%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76882D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58.5%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5308A7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65.7%</w:t>
            </w:r>
          </w:p>
        </w:tc>
      </w:tr>
      <w:tr w:rsidR="002F47CC" w:rsidRPr="00FA3D6C" w14:paraId="7BE457A7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607E036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satisfied with quality of work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31239A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74.1%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2F9653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A6BDA7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57.5%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C67ECA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60.2%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FB0465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65.3%</w:t>
            </w:r>
          </w:p>
        </w:tc>
      </w:tr>
      <w:tr w:rsidR="002F47CC" w:rsidRPr="00FA3D6C" w14:paraId="3B63D24E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2038E05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satisfied with speed of work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6BFC1A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73.6%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B36AAF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68.9%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108203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56.7%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5856AC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58.5%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01FD6B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65.1%</w:t>
            </w:r>
          </w:p>
        </w:tc>
      </w:tr>
      <w:tr w:rsidR="002F47CC" w:rsidRPr="00FA3D6C" w14:paraId="5A0435CF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F87CB68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satisfied with tidiness of work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934327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80.5%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83F814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73.2%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D0C0A0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7A9E28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67.8%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122AE4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72.5%</w:t>
            </w:r>
          </w:p>
        </w:tc>
      </w:tr>
      <w:tr w:rsidR="002F47CC" w:rsidRPr="00FA3D6C" w14:paraId="4DD1C2BC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911CE4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satisfied Hexagon is easy to deal with</w:t>
            </w: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36BC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71.3%</w:t>
            </w:r>
          </w:p>
        </w:tc>
        <w:tc>
          <w:tcPr>
            <w:tcW w:w="10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B751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65.9%</w:t>
            </w:r>
          </w:p>
        </w:tc>
        <w:tc>
          <w:tcPr>
            <w:tcW w:w="10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8348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58.9%</w:t>
            </w:r>
          </w:p>
        </w:tc>
        <w:tc>
          <w:tcPr>
            <w:tcW w:w="10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275E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59.6%</w:t>
            </w:r>
          </w:p>
        </w:tc>
        <w:tc>
          <w:tcPr>
            <w:tcW w:w="10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FC31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64.6%</w:t>
            </w:r>
          </w:p>
        </w:tc>
      </w:tr>
      <w:tr w:rsidR="002F47CC" w:rsidRPr="00FA3D6C" w14:paraId="6F5B77A9" w14:textId="77777777" w:rsidTr="00FA3D6C">
        <w:trPr>
          <w:trHeight w:val="20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20521" w14:textId="6D8C3FB2" w:rsidR="002F47CC" w:rsidRPr="00FA3D6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3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Contact centre survey (transactional)</w:t>
            </w:r>
          </w:p>
        </w:tc>
      </w:tr>
      <w:tr w:rsidR="002F47CC" w:rsidRPr="00FA3D6C" w14:paraId="705874E0" w14:textId="77777777" w:rsidTr="00FA3D6C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3288576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Customer satisfaction with contact centre</w:t>
            </w:r>
          </w:p>
        </w:tc>
        <w:tc>
          <w:tcPr>
            <w:tcW w:w="104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94A734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DF5D99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1669AF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65%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E133C5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8BD432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66%</w:t>
            </w:r>
          </w:p>
        </w:tc>
      </w:tr>
      <w:tr w:rsidR="002F47CC" w:rsidRPr="00FA3D6C" w14:paraId="6ED330FE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C88B91A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% satisfied with customer care received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31DA82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9892AE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3FF4F3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A50303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718A4C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68%</w:t>
            </w:r>
          </w:p>
        </w:tc>
      </w:tr>
      <w:tr w:rsidR="002F47CC" w:rsidRPr="00FA3D6C" w14:paraId="17113868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70B60A2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satisfied with adviser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86F11B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DC72E0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2FBB96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3C5CE1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41973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68%</w:t>
            </w:r>
          </w:p>
        </w:tc>
      </w:tr>
      <w:tr w:rsidR="002F47CC" w:rsidRPr="00FA3D6C" w14:paraId="15D87886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ADA95A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satisfied with adviser attitude</w:t>
            </w: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A4AE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0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8FE4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74%</w:t>
            </w:r>
          </w:p>
        </w:tc>
        <w:tc>
          <w:tcPr>
            <w:tcW w:w="10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C7CA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74%</w:t>
            </w:r>
          </w:p>
        </w:tc>
        <w:tc>
          <w:tcPr>
            <w:tcW w:w="10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5F6E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0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F101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74%</w:t>
            </w:r>
          </w:p>
        </w:tc>
      </w:tr>
      <w:tr w:rsidR="00FA3D6C" w:rsidRPr="00FA3D6C" w14:paraId="4EEB8FBB" w14:textId="77777777" w:rsidTr="00FA3D6C">
        <w:trPr>
          <w:trHeight w:val="20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198AB8" w14:textId="16B5F65C" w:rsidR="00FA3D6C" w:rsidRPr="002F47CC" w:rsidRDefault="00FA3D6C" w:rsidP="00FA3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A3D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Quarterly TSM Survey</w:t>
            </w:r>
          </w:p>
        </w:tc>
      </w:tr>
      <w:tr w:rsidR="002F47CC" w:rsidRPr="00FA3D6C" w14:paraId="7DA657AE" w14:textId="77777777" w:rsidTr="00FA3D6C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DF5DF70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Residents satisfied with overall service received</w:t>
            </w:r>
          </w:p>
        </w:tc>
        <w:tc>
          <w:tcPr>
            <w:tcW w:w="104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8991BF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54.0%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A91FDB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56.0%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37FBBC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50.0%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C139B5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CFA980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53.0%</w:t>
            </w:r>
          </w:p>
        </w:tc>
      </w:tr>
      <w:tr w:rsidR="002F47CC" w:rsidRPr="00FA3D6C" w14:paraId="3129E20B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17EB9A6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% satisfied that Hexagon listens to the tenant views and acts upon them 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A516DC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6AABA5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47BBD9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FE44AF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9DA0AC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46.0%</w:t>
            </w:r>
          </w:p>
        </w:tc>
      </w:tr>
      <w:tr w:rsidR="002F47CC" w:rsidRPr="00FA3D6C" w14:paraId="2AC4889D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ED187A1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% satisfied that Hexagon keeps tenants informed about things that matter to them 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CF7D7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CCD078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664B82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6B91BF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C305DB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65.0%</w:t>
            </w:r>
          </w:p>
        </w:tc>
      </w:tr>
      <w:tr w:rsidR="002F47CC" w:rsidRPr="00FA3D6C" w14:paraId="55B94671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0B9B1A5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% satisfied that Hexagon treats tenants fairly and with respect 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E0F322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DC6AA5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F40932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11810E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90D146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63.0%</w:t>
            </w:r>
          </w:p>
        </w:tc>
      </w:tr>
      <w:tr w:rsidR="002F47CC" w:rsidRPr="00FA3D6C" w14:paraId="3E7AA8D6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FD038FD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satisfied that Hexagon is easy to deal with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2716E1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A58ED5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6533BC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59.1%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7E692B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958776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58.0%</w:t>
            </w:r>
          </w:p>
        </w:tc>
      </w:tr>
      <w:tr w:rsidR="002F47CC" w:rsidRPr="00FA3D6C" w14:paraId="43F090F9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2ABF409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satisfied that Hexagon provides a home that is safe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BDAC07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7D4936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6E5DBC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0EA2DA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8A6FD1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65.0%</w:t>
            </w:r>
          </w:p>
        </w:tc>
      </w:tr>
      <w:tr w:rsidR="002F47CC" w:rsidRPr="00FA3D6C" w14:paraId="2D1562D9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EF67798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satisfied that Hexagon provides a home that is  well-maintained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570BF0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71CAA2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777787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31453D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3A3524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53.0%</w:t>
            </w:r>
          </w:p>
        </w:tc>
      </w:tr>
      <w:tr w:rsidR="002F47CC" w:rsidRPr="00FA3D6C" w14:paraId="72318468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87DDE39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satisfied that Hexagon keeps communal areas clean and well-maintained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C2FDCE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8FC483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72DF63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F08DF0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821A23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51.0%</w:t>
            </w:r>
          </w:p>
        </w:tc>
      </w:tr>
      <w:tr w:rsidR="002F47CC" w:rsidRPr="00FA3D6C" w14:paraId="025DD0BC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0B185DC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satisfied with the overall repairs service from Hexagon in the last 12 months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694154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FC2FD3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C3723E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027E07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A9B3A6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54.0%</w:t>
            </w:r>
          </w:p>
        </w:tc>
      </w:tr>
      <w:tr w:rsidR="002F47CC" w:rsidRPr="00FA3D6C" w14:paraId="695A36BA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41D5F36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satisfied with time taken to complete most recent repair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DA8D2F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672A80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D655F4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AC493C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82433C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55.0%</w:t>
            </w:r>
          </w:p>
        </w:tc>
      </w:tr>
      <w:tr w:rsidR="002F47CC" w:rsidRPr="00FA3D6C" w14:paraId="69D74178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4F266EB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satisfied that Hexagon makes a positive contribution to your neighbourhood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632E0C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EA52AF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72D2A0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070FCE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F616D8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52.0%</w:t>
            </w:r>
          </w:p>
        </w:tc>
      </w:tr>
      <w:tr w:rsidR="002F47CC" w:rsidRPr="00FA3D6C" w14:paraId="53C44091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1F7931B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satisfied with Hexagon's approach to handling ASB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D3259D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56B15B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DEDF2D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52.0%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24A994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8A3947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53.0%</w:t>
            </w:r>
          </w:p>
        </w:tc>
      </w:tr>
      <w:tr w:rsidR="002F47CC" w:rsidRPr="00FA3D6C" w14:paraId="7F526047" w14:textId="77777777" w:rsidTr="00FA3D6C">
        <w:trPr>
          <w:trHeight w:val="20"/>
        </w:trPr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EDEA78" w14:textId="77777777" w:rsidR="002F47CC" w:rsidRPr="002F47CC" w:rsidRDefault="002F47CC" w:rsidP="002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satisfied with Hexagon's approach to complaints handling</w:t>
            </w: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D7BD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27.0%</w:t>
            </w:r>
          </w:p>
        </w:tc>
        <w:tc>
          <w:tcPr>
            <w:tcW w:w="10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0E7A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27.0%</w:t>
            </w:r>
          </w:p>
        </w:tc>
        <w:tc>
          <w:tcPr>
            <w:tcW w:w="10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4D97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14.0%</w:t>
            </w:r>
          </w:p>
        </w:tc>
        <w:tc>
          <w:tcPr>
            <w:tcW w:w="10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69A8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16AB" w14:textId="77777777" w:rsidR="002F47CC" w:rsidRPr="002F47CC" w:rsidRDefault="002F47CC" w:rsidP="002F4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4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23.0%</w:t>
            </w:r>
          </w:p>
        </w:tc>
      </w:tr>
    </w:tbl>
    <w:p w14:paraId="3C82350D" w14:textId="6A3A0205" w:rsidR="00FD3ECD" w:rsidRDefault="00FD3ECD" w:rsidP="00FA3D6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7228E00" w14:textId="77777777" w:rsidR="00FD3ECD" w:rsidRDefault="00FD3ECD" w:rsidP="007822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684AD4D" w14:textId="29DC5356" w:rsidR="00FD3ECD" w:rsidRDefault="00FD3ECD" w:rsidP="00227C3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4.5 The table below highlights the themes of concerns raised within the transactional surveys. </w:t>
      </w:r>
    </w:p>
    <w:p w14:paraId="1B2814FD" w14:textId="77777777" w:rsidR="00FD3ECD" w:rsidRDefault="00FD3ECD" w:rsidP="00FD3E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5902"/>
      </w:tblGrid>
      <w:tr w:rsidR="00FD3ECD" w14:paraId="3904079D" w14:textId="77777777" w:rsidTr="00FD3ECD">
        <w:tc>
          <w:tcPr>
            <w:tcW w:w="2754" w:type="dxa"/>
          </w:tcPr>
          <w:p w14:paraId="273B097C" w14:textId="7978F804" w:rsidR="00FD3ECD" w:rsidRPr="00FD3ECD" w:rsidRDefault="00FD3ECD" w:rsidP="00FD3ECD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D3EC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Survey Type </w:t>
            </w:r>
          </w:p>
        </w:tc>
        <w:tc>
          <w:tcPr>
            <w:tcW w:w="5902" w:type="dxa"/>
          </w:tcPr>
          <w:p w14:paraId="1EE7ADD2" w14:textId="31CD9CDE" w:rsidR="00FD3ECD" w:rsidRPr="00FD3ECD" w:rsidRDefault="00FD3ECD" w:rsidP="00FD3ECD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D3EC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Theme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(s)</w:t>
            </w:r>
            <w:r w:rsidRPr="00FD3EC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of concerns raised </w:t>
            </w:r>
          </w:p>
        </w:tc>
      </w:tr>
      <w:tr w:rsidR="00FD3ECD" w14:paraId="7A3A5C36" w14:textId="77777777" w:rsidTr="00FD3ECD">
        <w:tc>
          <w:tcPr>
            <w:tcW w:w="2754" w:type="dxa"/>
          </w:tcPr>
          <w:p w14:paraId="1435BB31" w14:textId="00FA0B1B" w:rsidR="00FD3ECD" w:rsidRDefault="00FD3ECD" w:rsidP="00FD3ECD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Anti-social behaviour </w:t>
            </w:r>
          </w:p>
        </w:tc>
        <w:tc>
          <w:tcPr>
            <w:tcW w:w="5902" w:type="dxa"/>
            <w:shd w:val="clear" w:color="auto" w:fill="D9D9D9" w:themeFill="background1" w:themeFillShade="D9"/>
          </w:tcPr>
          <w:p w14:paraId="6C5B00CB" w14:textId="0C8DB77E" w:rsidR="00FD3ECD" w:rsidRDefault="00FD3ECD" w:rsidP="00FD3ECD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FD3ECD" w14:paraId="749FAE86" w14:textId="77777777" w:rsidTr="00FD3ECD">
        <w:tc>
          <w:tcPr>
            <w:tcW w:w="2754" w:type="dxa"/>
            <w:shd w:val="clear" w:color="auto" w:fill="D9D9D9" w:themeFill="background1" w:themeFillShade="D9"/>
          </w:tcPr>
          <w:p w14:paraId="2BF0762F" w14:textId="77777777" w:rsidR="00FD3ECD" w:rsidRDefault="00FD3ECD" w:rsidP="00FD3ECD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902" w:type="dxa"/>
          </w:tcPr>
          <w:p w14:paraId="42F2B893" w14:textId="77777777" w:rsidR="00FD3ECD" w:rsidRPr="00FD3ECD" w:rsidRDefault="00FD3ECD" w:rsidP="00FD3ECD">
            <w:pPr>
              <w:pStyle w:val="ListParagraph"/>
              <w:numPr>
                <w:ilvl w:val="0"/>
                <w:numId w:val="32"/>
              </w:numPr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FD3ECD" w14:paraId="24805CB0" w14:textId="77777777" w:rsidTr="00FD3ECD">
        <w:tc>
          <w:tcPr>
            <w:tcW w:w="2754" w:type="dxa"/>
          </w:tcPr>
          <w:p w14:paraId="2CF743B1" w14:textId="66D6E1B4" w:rsidR="00FD3ECD" w:rsidRDefault="00FD3ECD" w:rsidP="00FD3ECD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Repairs </w:t>
            </w:r>
          </w:p>
        </w:tc>
        <w:tc>
          <w:tcPr>
            <w:tcW w:w="5902" w:type="dxa"/>
            <w:shd w:val="clear" w:color="auto" w:fill="D9D9D9" w:themeFill="background1" w:themeFillShade="D9"/>
          </w:tcPr>
          <w:p w14:paraId="24EC9E44" w14:textId="77777777" w:rsidR="00FD3ECD" w:rsidRDefault="00FD3ECD" w:rsidP="00FD3ECD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FD3ECD" w14:paraId="412E0095" w14:textId="77777777" w:rsidTr="00FD3ECD">
        <w:tc>
          <w:tcPr>
            <w:tcW w:w="2754" w:type="dxa"/>
            <w:shd w:val="clear" w:color="auto" w:fill="D9D9D9" w:themeFill="background1" w:themeFillShade="D9"/>
          </w:tcPr>
          <w:p w14:paraId="6B709870" w14:textId="77777777" w:rsidR="00FD3ECD" w:rsidRDefault="00FD3ECD" w:rsidP="00FD3ECD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902" w:type="dxa"/>
          </w:tcPr>
          <w:p w14:paraId="5994EBFC" w14:textId="77777777" w:rsidR="00FD3ECD" w:rsidRPr="00FD3ECD" w:rsidRDefault="00FD3ECD" w:rsidP="00FD3ECD">
            <w:pPr>
              <w:pStyle w:val="ListParagraph"/>
              <w:numPr>
                <w:ilvl w:val="0"/>
                <w:numId w:val="32"/>
              </w:numPr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FD3ECD" w14:paraId="6B8B0CE3" w14:textId="77777777" w:rsidTr="00FD3ECD">
        <w:tc>
          <w:tcPr>
            <w:tcW w:w="2754" w:type="dxa"/>
          </w:tcPr>
          <w:p w14:paraId="1CD92C66" w14:textId="5A90C19B" w:rsidR="00FD3ECD" w:rsidRDefault="00FD3ECD" w:rsidP="00FD3ECD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Lettings </w:t>
            </w:r>
          </w:p>
        </w:tc>
        <w:tc>
          <w:tcPr>
            <w:tcW w:w="5902" w:type="dxa"/>
            <w:shd w:val="clear" w:color="auto" w:fill="D9D9D9" w:themeFill="background1" w:themeFillShade="D9"/>
          </w:tcPr>
          <w:p w14:paraId="5288F77B" w14:textId="77777777" w:rsidR="00FD3ECD" w:rsidRDefault="00FD3ECD" w:rsidP="00FD3ECD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FD3ECD" w14:paraId="6C8D2692" w14:textId="77777777" w:rsidTr="00FD3ECD">
        <w:tc>
          <w:tcPr>
            <w:tcW w:w="2754" w:type="dxa"/>
            <w:shd w:val="clear" w:color="auto" w:fill="D9D9D9" w:themeFill="background1" w:themeFillShade="D9"/>
          </w:tcPr>
          <w:p w14:paraId="61A02BA0" w14:textId="77777777" w:rsidR="00FD3ECD" w:rsidRDefault="00FD3ECD" w:rsidP="00FD3ECD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902" w:type="dxa"/>
          </w:tcPr>
          <w:p w14:paraId="58B68159" w14:textId="77777777" w:rsidR="00FD3ECD" w:rsidRPr="00FD3ECD" w:rsidRDefault="00FD3ECD" w:rsidP="00FD3ECD">
            <w:pPr>
              <w:pStyle w:val="ListParagraph"/>
              <w:numPr>
                <w:ilvl w:val="0"/>
                <w:numId w:val="32"/>
              </w:numPr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7E61CBF6" w14:textId="0297BEB9" w:rsidR="009A78AB" w:rsidRDefault="009A78AB" w:rsidP="00227C3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27C7FF3" w14:textId="116C03BA" w:rsidR="00FD3ECD" w:rsidRDefault="00FD3ECD" w:rsidP="00227C3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4.6 Actions to address the concerns raised: -</w:t>
      </w:r>
    </w:p>
    <w:p w14:paraId="37009C26" w14:textId="77777777" w:rsidR="00FD3ECD" w:rsidRPr="00FD3ECD" w:rsidRDefault="00FD3ECD" w:rsidP="00FD3ECD">
      <w:pPr>
        <w:pStyle w:val="ListParagraph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47618EC" w14:textId="3180CFC7" w:rsidR="00FD3ECD" w:rsidRDefault="00FD3ECD" w:rsidP="00227C3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5AFC030" w14:textId="78D7BCBB" w:rsidR="00FD3ECD" w:rsidRDefault="00FD3ECD" w:rsidP="00227C3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4.7 The follow resident engagement event</w:t>
      </w:r>
      <w:r w:rsidR="007822CC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7822CC">
        <w:rPr>
          <w:rFonts w:ascii="Arial" w:eastAsia="Times New Roman" w:hAnsi="Arial" w:cs="Arial"/>
          <w:bCs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have been held between </w:t>
      </w:r>
      <w:r w:rsidR="007822CC">
        <w:rPr>
          <w:rFonts w:ascii="Arial" w:eastAsia="Times New Roman" w:hAnsi="Arial" w:cs="Arial"/>
          <w:bCs/>
          <w:sz w:val="24"/>
          <w:szCs w:val="24"/>
          <w:lang w:eastAsia="en-GB"/>
        </w:rPr>
        <w:t>DATE and DATE.</w:t>
      </w:r>
    </w:p>
    <w:p w14:paraId="114C8D2D" w14:textId="40D0B071" w:rsidR="007822CC" w:rsidRDefault="007822CC" w:rsidP="00227C3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10DC8A1" w14:textId="28D67958" w:rsidR="007822CC" w:rsidRDefault="007822CC" w:rsidP="00227C3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6F9E8EE" w14:textId="7C69C2A1" w:rsidR="007822CC" w:rsidRDefault="007822CC" w:rsidP="00227C3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05CA855" w14:textId="07705609" w:rsidR="007822CC" w:rsidRDefault="007822CC" w:rsidP="00227C3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lastRenderedPageBreak/>
        <w:t xml:space="preserve">4.8 Issues to address following the events are as follows: - </w:t>
      </w:r>
    </w:p>
    <w:p w14:paraId="7BA153BC" w14:textId="77164389" w:rsidR="007822CC" w:rsidRDefault="007822CC" w:rsidP="00227C3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C29E2DF" w14:textId="77777777" w:rsidR="007822CC" w:rsidRPr="007822CC" w:rsidRDefault="007822CC" w:rsidP="007822CC">
      <w:pPr>
        <w:pStyle w:val="ListParagraph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1DFD6D2" w14:textId="77777777" w:rsidR="007822CC" w:rsidRDefault="007822CC" w:rsidP="00227C3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181C918" w14:textId="367C4F96" w:rsidR="007C6C69" w:rsidRPr="00126155" w:rsidRDefault="007C6C69" w:rsidP="007C6C69">
      <w:pPr>
        <w:pStyle w:val="Headings"/>
        <w:numPr>
          <w:ilvl w:val="0"/>
          <w:numId w:val="25"/>
        </w:numPr>
        <w:spacing w:line="360" w:lineRule="auto"/>
        <w:ind w:left="284" w:hanging="284"/>
      </w:pPr>
      <w:r w:rsidRPr="00126155">
        <w:t>Next steps</w:t>
      </w:r>
    </w:p>
    <w:p w14:paraId="14E348A2" w14:textId="0A96C9D7" w:rsidR="00291451" w:rsidRDefault="007822CC" w:rsidP="00A86863">
      <w:pPr>
        <w:pStyle w:val="Body"/>
        <w:numPr>
          <w:ilvl w:val="1"/>
          <w:numId w:val="25"/>
        </w:numPr>
        <w:spacing w:before="0"/>
        <w:ind w:left="426" w:hanging="426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The following actions are contained within existing corporate (annual delivery plan) or team level plans. </w:t>
      </w:r>
    </w:p>
    <w:p w14:paraId="34C98600" w14:textId="27955D76" w:rsidR="00291451" w:rsidRDefault="007822CC" w:rsidP="00A86863">
      <w:pPr>
        <w:pStyle w:val="Body"/>
        <w:numPr>
          <w:ilvl w:val="1"/>
          <w:numId w:val="25"/>
        </w:numPr>
        <w:spacing w:before="0"/>
        <w:ind w:left="426" w:hanging="426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The following additional actions will be </w:t>
      </w:r>
    </w:p>
    <w:p w14:paraId="6E03E467" w14:textId="44129091" w:rsidR="007C6C69" w:rsidRPr="00126155" w:rsidRDefault="007C6C69" w:rsidP="008A241F">
      <w:pPr>
        <w:pStyle w:val="Headings"/>
        <w:numPr>
          <w:ilvl w:val="0"/>
          <w:numId w:val="25"/>
        </w:numPr>
        <w:spacing w:line="360" w:lineRule="auto"/>
        <w:ind w:left="426" w:hanging="426"/>
      </w:pPr>
      <w:r w:rsidRPr="00126155">
        <w:t>Corporate Governance</w:t>
      </w:r>
    </w:p>
    <w:p w14:paraId="265E474B" w14:textId="77777777" w:rsidR="007C6C69" w:rsidRPr="00126155" w:rsidRDefault="007C6C69" w:rsidP="007C6C69">
      <w:pPr>
        <w:pStyle w:val="Heading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C6C69" w:rsidRPr="00126155" w14:paraId="0C811FA5" w14:textId="77777777">
        <w:tc>
          <w:tcPr>
            <w:tcW w:w="2830" w:type="dxa"/>
          </w:tcPr>
          <w:p w14:paraId="09E1D61A" w14:textId="77777777" w:rsidR="007C6C69" w:rsidRPr="00126155" w:rsidRDefault="007C6C69">
            <w:pPr>
              <w:pStyle w:val="Headings"/>
              <w:rPr>
                <w:b w:val="0"/>
                <w:bCs w:val="0"/>
              </w:rPr>
            </w:pPr>
            <w:r w:rsidRPr="00126155">
              <w:rPr>
                <w:b w:val="0"/>
                <w:bCs w:val="0"/>
              </w:rPr>
              <w:t>Links to Corporate Plan</w:t>
            </w:r>
          </w:p>
        </w:tc>
        <w:tc>
          <w:tcPr>
            <w:tcW w:w="6186" w:type="dxa"/>
          </w:tcPr>
          <w:p w14:paraId="088B4571" w14:textId="3C6E15F9" w:rsidR="00986508" w:rsidRDefault="007822CC" w:rsidP="00986508">
            <w:pPr>
              <w:pStyle w:val="Headings"/>
              <w:rPr>
                <w:b w:val="0"/>
                <w:bCs w:val="0"/>
                <w:color w:val="000000" w:themeColor="text1"/>
              </w:rPr>
            </w:pPr>
            <w:r w:rsidRPr="007822CC">
              <w:rPr>
                <w:b w:val="0"/>
                <w:bCs w:val="0"/>
                <w:color w:val="000000" w:themeColor="text1"/>
              </w:rPr>
              <w:t xml:space="preserve">Hearing and responding to resident feedback aligned to the following </w:t>
            </w:r>
            <w:r w:rsidR="00986508" w:rsidRPr="007822CC">
              <w:rPr>
                <w:b w:val="0"/>
                <w:bCs w:val="0"/>
                <w:color w:val="000000" w:themeColor="text1"/>
              </w:rPr>
              <w:t>Corporate Plan</w:t>
            </w:r>
            <w:r w:rsidRPr="007822CC">
              <w:rPr>
                <w:b w:val="0"/>
                <w:bCs w:val="0"/>
                <w:color w:val="000000" w:themeColor="text1"/>
              </w:rPr>
              <w:t xml:space="preserve"> objectives</w:t>
            </w:r>
            <w:r w:rsidR="00986508">
              <w:rPr>
                <w:b w:val="0"/>
                <w:bCs w:val="0"/>
                <w:color w:val="000000" w:themeColor="text1"/>
              </w:rPr>
              <w:t xml:space="preserve">. </w:t>
            </w:r>
          </w:p>
          <w:p w14:paraId="6045EA88" w14:textId="42350EF3" w:rsidR="00986508" w:rsidRPr="00986508" w:rsidRDefault="00986508" w:rsidP="00986508">
            <w:pPr>
              <w:pStyle w:val="Headings"/>
              <w:numPr>
                <w:ilvl w:val="0"/>
                <w:numId w:val="30"/>
              </w:numPr>
              <w:rPr>
                <w:b w:val="0"/>
                <w:bCs w:val="0"/>
                <w:color w:val="000000" w:themeColor="text1"/>
              </w:rPr>
            </w:pPr>
            <w:r w:rsidRPr="00986508">
              <w:rPr>
                <w:b w:val="0"/>
                <w:bCs w:val="0"/>
                <w:color w:val="000000" w:themeColor="text1"/>
              </w:rPr>
              <w:t xml:space="preserve">Good landlord services that meet customer needs </w:t>
            </w:r>
          </w:p>
          <w:p w14:paraId="09178592" w14:textId="19E7D2D8" w:rsidR="00986508" w:rsidRPr="00986508" w:rsidRDefault="00986508" w:rsidP="00097F22">
            <w:pPr>
              <w:pStyle w:val="Headings"/>
              <w:numPr>
                <w:ilvl w:val="0"/>
                <w:numId w:val="26"/>
              </w:numPr>
              <w:rPr>
                <w:b w:val="0"/>
                <w:bCs w:val="0"/>
                <w:color w:val="000000" w:themeColor="text1"/>
              </w:rPr>
            </w:pPr>
            <w:r w:rsidRPr="00986508">
              <w:rPr>
                <w:b w:val="0"/>
                <w:bCs w:val="0"/>
                <w:color w:val="000000" w:themeColor="text1"/>
              </w:rPr>
              <w:t xml:space="preserve">Residents are supported and making a positive difference </w:t>
            </w:r>
          </w:p>
          <w:p w14:paraId="37DF4C5B" w14:textId="391CD09D" w:rsidR="00125BBB" w:rsidRPr="00126155" w:rsidRDefault="00125BBB" w:rsidP="00986508">
            <w:pPr>
              <w:pStyle w:val="Headings"/>
            </w:pPr>
          </w:p>
        </w:tc>
      </w:tr>
      <w:tr w:rsidR="007C6C69" w:rsidRPr="00126155" w14:paraId="668C9A57" w14:textId="77777777">
        <w:tc>
          <w:tcPr>
            <w:tcW w:w="2830" w:type="dxa"/>
          </w:tcPr>
          <w:p w14:paraId="50A7B596" w14:textId="77777777" w:rsidR="007C6C69" w:rsidRPr="00126155" w:rsidRDefault="007C6C69">
            <w:pPr>
              <w:pStyle w:val="Headings"/>
              <w:rPr>
                <w:b w:val="0"/>
                <w:bCs w:val="0"/>
              </w:rPr>
            </w:pPr>
            <w:r w:rsidRPr="00126155">
              <w:rPr>
                <w:b w:val="0"/>
                <w:bCs w:val="0"/>
              </w:rPr>
              <w:t>Impact on residents/staff</w:t>
            </w:r>
          </w:p>
        </w:tc>
        <w:tc>
          <w:tcPr>
            <w:tcW w:w="6186" w:type="dxa"/>
          </w:tcPr>
          <w:p w14:paraId="29296D0C" w14:textId="77777777" w:rsidR="004B3459" w:rsidRDefault="007822CC" w:rsidP="007822CC">
            <w:pPr>
              <w:pStyle w:val="Headings"/>
              <w:rPr>
                <w:rStyle w:val="normaltextrun"/>
                <w:b w:val="0"/>
                <w:bCs w:val="0"/>
                <w:color w:val="auto"/>
              </w:rPr>
            </w:pPr>
            <w:r w:rsidRPr="007822CC">
              <w:rPr>
                <w:rStyle w:val="normaltextrun"/>
                <w:b w:val="0"/>
                <w:bCs w:val="0"/>
                <w:color w:val="auto"/>
              </w:rPr>
              <w:t xml:space="preserve">Focusing on residents’ priorities and concerns should have a positive impact on customer satisfaction and enable residents to see demonstrable evidence that </w:t>
            </w:r>
          </w:p>
          <w:p w14:paraId="2D512650" w14:textId="1C8EB102" w:rsidR="00B10F4E" w:rsidRDefault="007822CC" w:rsidP="007822CC">
            <w:pPr>
              <w:pStyle w:val="Headings"/>
              <w:rPr>
                <w:rStyle w:val="normaltextrun"/>
                <w:b w:val="0"/>
                <w:bCs w:val="0"/>
                <w:color w:val="auto"/>
              </w:rPr>
            </w:pPr>
            <w:r w:rsidRPr="007822CC">
              <w:rPr>
                <w:rStyle w:val="normaltextrun"/>
                <w:b w:val="0"/>
                <w:bCs w:val="0"/>
                <w:color w:val="auto"/>
              </w:rPr>
              <w:t>Hexagon responds to their concerns.</w:t>
            </w:r>
            <w:r w:rsidR="00097F22" w:rsidRPr="007822CC">
              <w:rPr>
                <w:rStyle w:val="normaltextrun"/>
                <w:b w:val="0"/>
                <w:bCs w:val="0"/>
                <w:color w:val="auto"/>
              </w:rPr>
              <w:t xml:space="preserve"> </w:t>
            </w:r>
            <w:r w:rsidR="00B10F4E" w:rsidRPr="007822CC">
              <w:rPr>
                <w:rStyle w:val="normaltextrun"/>
                <w:b w:val="0"/>
                <w:bCs w:val="0"/>
                <w:color w:val="auto"/>
              </w:rPr>
              <w:t xml:space="preserve"> </w:t>
            </w:r>
          </w:p>
          <w:p w14:paraId="4CEE219E" w14:textId="721867C0" w:rsidR="007822CC" w:rsidRPr="007822CC" w:rsidRDefault="007822CC" w:rsidP="007822CC">
            <w:pPr>
              <w:pStyle w:val="Headings"/>
              <w:rPr>
                <w:rStyle w:val="normaltextrun"/>
                <w:b w:val="0"/>
                <w:bCs w:val="0"/>
                <w:color w:val="000000" w:themeColor="text1"/>
              </w:rPr>
            </w:pPr>
          </w:p>
        </w:tc>
      </w:tr>
      <w:tr w:rsidR="007C6C69" w:rsidRPr="00126155" w14:paraId="4572E49C" w14:textId="77777777">
        <w:tc>
          <w:tcPr>
            <w:tcW w:w="2830" w:type="dxa"/>
          </w:tcPr>
          <w:p w14:paraId="3B09E3AE" w14:textId="77777777" w:rsidR="007C6C69" w:rsidRPr="00126155" w:rsidRDefault="007C6C69">
            <w:pPr>
              <w:pStyle w:val="Headings"/>
              <w:rPr>
                <w:b w:val="0"/>
                <w:bCs w:val="0"/>
              </w:rPr>
            </w:pPr>
            <w:r w:rsidRPr="00126155">
              <w:rPr>
                <w:b w:val="0"/>
                <w:bCs w:val="0"/>
              </w:rPr>
              <w:t>Risks/strategic impact</w:t>
            </w:r>
          </w:p>
        </w:tc>
        <w:tc>
          <w:tcPr>
            <w:tcW w:w="6186" w:type="dxa"/>
          </w:tcPr>
          <w:p w14:paraId="4A997DC2" w14:textId="25F96734" w:rsidR="00242977" w:rsidRDefault="000F3C68">
            <w:pPr>
              <w:pStyle w:val="Headings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SR1, SR2 and SR5 relate to the above corporate plan objectives. </w:t>
            </w:r>
          </w:p>
          <w:p w14:paraId="05706F85" w14:textId="4C8FFAE8" w:rsidR="00964F7F" w:rsidRPr="00126155" w:rsidRDefault="00964F7F">
            <w:pPr>
              <w:pStyle w:val="Headings"/>
              <w:rPr>
                <w:b w:val="0"/>
                <w:bCs w:val="0"/>
                <w:color w:val="auto"/>
              </w:rPr>
            </w:pPr>
          </w:p>
        </w:tc>
      </w:tr>
      <w:tr w:rsidR="007C6C69" w:rsidRPr="00126155" w14:paraId="7F97EFC4" w14:textId="77777777">
        <w:tc>
          <w:tcPr>
            <w:tcW w:w="2830" w:type="dxa"/>
          </w:tcPr>
          <w:p w14:paraId="63B8FD5A" w14:textId="77777777" w:rsidR="007C6C69" w:rsidRPr="00126155" w:rsidRDefault="007C6C69">
            <w:pPr>
              <w:pStyle w:val="Headings"/>
              <w:rPr>
                <w:b w:val="0"/>
                <w:bCs w:val="0"/>
              </w:rPr>
            </w:pPr>
            <w:r w:rsidRPr="00126155">
              <w:rPr>
                <w:b w:val="0"/>
                <w:bCs w:val="0"/>
              </w:rPr>
              <w:t>Governance/Regulatory implications</w:t>
            </w:r>
          </w:p>
        </w:tc>
        <w:tc>
          <w:tcPr>
            <w:tcW w:w="6186" w:type="dxa"/>
          </w:tcPr>
          <w:p w14:paraId="700D9E33" w14:textId="701E1A69" w:rsidR="00E32AE6" w:rsidRPr="00E61FB8" w:rsidRDefault="00E32AE6" w:rsidP="00E32AE6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32AE6">
              <w:rPr>
                <w:rFonts w:ascii="Arial" w:hAnsi="Arial" w:cs="Arial"/>
                <w:sz w:val="24"/>
                <w:szCs w:val="24"/>
              </w:rPr>
              <w:t xml:space="preserve">Hearing the customer voice aligns to the </w:t>
            </w:r>
            <w:r w:rsidRPr="00E32AE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Transparency, Influence and Accountability</w:t>
            </w:r>
            <w:r w:rsidRPr="00E61FB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regulatory consumer s</w:t>
            </w:r>
            <w:r w:rsidRPr="00E61FB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tandard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. </w:t>
            </w:r>
          </w:p>
          <w:p w14:paraId="4ADC46E1" w14:textId="557AF8E5" w:rsidR="008950DE" w:rsidRPr="00126155" w:rsidRDefault="008950DE" w:rsidP="008950DE">
            <w:pPr>
              <w:pStyle w:val="Headings"/>
              <w:rPr>
                <w:b w:val="0"/>
                <w:bCs w:val="0"/>
                <w:color w:val="auto"/>
              </w:rPr>
            </w:pPr>
          </w:p>
        </w:tc>
      </w:tr>
      <w:tr w:rsidR="007C6C69" w:rsidRPr="00126155" w14:paraId="72E99E94" w14:textId="77777777">
        <w:tc>
          <w:tcPr>
            <w:tcW w:w="2830" w:type="dxa"/>
          </w:tcPr>
          <w:p w14:paraId="02D61DBB" w14:textId="77777777" w:rsidR="007C6C69" w:rsidRPr="00126155" w:rsidRDefault="007C6C69">
            <w:pPr>
              <w:pStyle w:val="Headings"/>
              <w:rPr>
                <w:b w:val="0"/>
                <w:bCs w:val="0"/>
              </w:rPr>
            </w:pPr>
            <w:r w:rsidRPr="00126155">
              <w:rPr>
                <w:b w:val="0"/>
                <w:bCs w:val="0"/>
              </w:rPr>
              <w:t>Financial implications</w:t>
            </w:r>
          </w:p>
        </w:tc>
        <w:tc>
          <w:tcPr>
            <w:tcW w:w="6186" w:type="dxa"/>
          </w:tcPr>
          <w:p w14:paraId="4A498210" w14:textId="77777777" w:rsidR="008950DE" w:rsidRDefault="008950DE" w:rsidP="008A241F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This report has no financial implications. </w:t>
            </w:r>
          </w:p>
          <w:p w14:paraId="6B3F3538" w14:textId="714036BB" w:rsidR="00125BBB" w:rsidRPr="00126155" w:rsidRDefault="00125BBB" w:rsidP="008A241F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C6C69" w:rsidRPr="00126155" w14:paraId="1A77FAAD" w14:textId="77777777">
        <w:tc>
          <w:tcPr>
            <w:tcW w:w="2830" w:type="dxa"/>
          </w:tcPr>
          <w:p w14:paraId="077580A4" w14:textId="77777777" w:rsidR="007C6C69" w:rsidRPr="00126155" w:rsidRDefault="007C6C69">
            <w:pPr>
              <w:pStyle w:val="Headings"/>
              <w:rPr>
                <w:b w:val="0"/>
                <w:bCs w:val="0"/>
              </w:rPr>
            </w:pPr>
            <w:r w:rsidRPr="00126155">
              <w:rPr>
                <w:b w:val="0"/>
                <w:bCs w:val="0"/>
              </w:rPr>
              <w:t>Equality and Diversity</w:t>
            </w:r>
          </w:p>
        </w:tc>
        <w:tc>
          <w:tcPr>
            <w:tcW w:w="6186" w:type="dxa"/>
          </w:tcPr>
          <w:p w14:paraId="0937FE70" w14:textId="08DF7B71" w:rsidR="0042099B" w:rsidRPr="007822CC" w:rsidRDefault="007822CC" w:rsidP="008950DE">
            <w:pPr>
              <w:pStyle w:val="Headings"/>
              <w:rPr>
                <w:b w:val="0"/>
                <w:bCs w:val="0"/>
                <w:color w:val="auto"/>
              </w:rPr>
            </w:pPr>
            <w:r w:rsidRPr="007822CC">
              <w:rPr>
                <w:b w:val="0"/>
                <w:bCs w:val="0"/>
                <w:color w:val="auto"/>
              </w:rPr>
              <w:t xml:space="preserve">Future work will be undertaken to explore the profile of residents contacting Hexagon and participating in survey activity. </w:t>
            </w:r>
          </w:p>
          <w:p w14:paraId="41D4C435" w14:textId="1C948827" w:rsidR="008950DE" w:rsidRPr="00126155" w:rsidRDefault="002F40B5" w:rsidP="008950DE">
            <w:pPr>
              <w:pStyle w:val="Headings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 </w:t>
            </w:r>
          </w:p>
        </w:tc>
      </w:tr>
      <w:tr w:rsidR="007C6C69" w:rsidRPr="00126155" w14:paraId="38017B1B" w14:textId="77777777">
        <w:tc>
          <w:tcPr>
            <w:tcW w:w="2830" w:type="dxa"/>
          </w:tcPr>
          <w:p w14:paraId="07D87506" w14:textId="77777777" w:rsidR="007C6C69" w:rsidRPr="00126155" w:rsidRDefault="007C6C69">
            <w:pPr>
              <w:pStyle w:val="Headings"/>
              <w:rPr>
                <w:b w:val="0"/>
                <w:bCs w:val="0"/>
              </w:rPr>
            </w:pPr>
            <w:r w:rsidRPr="00126155">
              <w:rPr>
                <w:b w:val="0"/>
                <w:bCs w:val="0"/>
              </w:rPr>
              <w:t>Value for money</w:t>
            </w:r>
          </w:p>
        </w:tc>
        <w:tc>
          <w:tcPr>
            <w:tcW w:w="6186" w:type="dxa"/>
          </w:tcPr>
          <w:p w14:paraId="6092A92F" w14:textId="77777777" w:rsidR="00126155" w:rsidRDefault="0042099B">
            <w:pPr>
              <w:pStyle w:val="Headings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This report does not consider value for money </w:t>
            </w:r>
            <w:r w:rsidR="0053029B">
              <w:rPr>
                <w:b w:val="0"/>
                <w:bCs w:val="0"/>
                <w:color w:val="auto"/>
              </w:rPr>
              <w:t xml:space="preserve"> </w:t>
            </w:r>
          </w:p>
          <w:p w14:paraId="160E272C" w14:textId="5844C050" w:rsidR="00964F7F" w:rsidRPr="00126155" w:rsidRDefault="00964F7F">
            <w:pPr>
              <w:pStyle w:val="Headings"/>
              <w:rPr>
                <w:b w:val="0"/>
                <w:bCs w:val="0"/>
                <w:color w:val="auto"/>
              </w:rPr>
            </w:pPr>
          </w:p>
        </w:tc>
      </w:tr>
    </w:tbl>
    <w:p w14:paraId="12A14FDF" w14:textId="77777777" w:rsidR="007C6C69" w:rsidRPr="00126155" w:rsidRDefault="007C6C69" w:rsidP="007C6C69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2ECEE378" w14:textId="77777777" w:rsidR="00532408" w:rsidRPr="00126155" w:rsidRDefault="00532408" w:rsidP="005324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E61024" w14:textId="77777777" w:rsidR="004B3459" w:rsidRDefault="004B3459" w:rsidP="003E70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D1135C" w14:textId="417851C7" w:rsidR="004B3459" w:rsidRDefault="004B3459" w:rsidP="003E70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  <w:sectPr w:rsidR="004B3459" w:rsidSect="00B1697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4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8"/>
        <w:gridCol w:w="1701"/>
        <w:gridCol w:w="11335"/>
      </w:tblGrid>
      <w:tr w:rsidR="004B3459" w14:paraId="248EAD52" w14:textId="77777777" w:rsidTr="004B3459">
        <w:trPr>
          <w:trHeight w:val="397"/>
        </w:trPr>
        <w:tc>
          <w:tcPr>
            <w:tcW w:w="14454" w:type="dxa"/>
            <w:gridSpan w:val="3"/>
            <w:tcBorders>
              <w:bottom w:val="single" w:sz="4" w:space="0" w:color="auto"/>
            </w:tcBorders>
          </w:tcPr>
          <w:p w14:paraId="2DBC1C19" w14:textId="73A53389" w:rsidR="004B3459" w:rsidRPr="071A717B" w:rsidRDefault="004B3459" w:rsidP="004B3459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Appendix 1 – List of Hexagon Resident Satisfaction measures</w:t>
            </w:r>
          </w:p>
        </w:tc>
      </w:tr>
      <w:tr w:rsidR="004B3459" w14:paraId="37C7CE6C" w14:textId="77777777" w:rsidTr="004B3459">
        <w:trPr>
          <w:trHeight w:val="30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60F6C2" w14:textId="78060E8A" w:rsidR="004B3459" w:rsidRDefault="004B3459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71A717B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Survey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E728D2" w14:textId="77777777" w:rsidR="004B3459" w:rsidRDefault="004B3459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71A717B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Survey Type</w:t>
            </w:r>
          </w:p>
        </w:tc>
        <w:tc>
          <w:tcPr>
            <w:tcW w:w="11335" w:type="dxa"/>
            <w:tcBorders>
              <w:bottom w:val="single" w:sz="4" w:space="0" w:color="auto"/>
            </w:tcBorders>
            <w:vAlign w:val="center"/>
          </w:tcPr>
          <w:p w14:paraId="6F15F0E7" w14:textId="77777777" w:rsidR="004B3459" w:rsidRDefault="004B3459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71A717B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Measures</w:t>
            </w:r>
          </w:p>
        </w:tc>
      </w:tr>
      <w:tr w:rsidR="004B3459" w14:paraId="6791BCAF" w14:textId="77777777" w:rsidTr="004B3459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46CC7F" w14:textId="77777777" w:rsidR="004B3459" w:rsidRPr="004B3459" w:rsidRDefault="004B3459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B3459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>Quarterly TSM Survey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1FCDA6" w14:textId="77777777" w:rsidR="004B3459" w:rsidRDefault="004B3459">
            <w:pPr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71A717B">
              <w:rPr>
                <w:rFonts w:ascii="Arial" w:eastAsia="Arial" w:hAnsi="Arial" w:cs="Arial"/>
                <w:sz w:val="20"/>
                <w:szCs w:val="20"/>
                <w:lang w:eastAsia="en-GB"/>
              </w:rPr>
              <w:t>Perception</w:t>
            </w:r>
          </w:p>
        </w:tc>
        <w:tc>
          <w:tcPr>
            <w:tcW w:w="113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2124E8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with the overall service provided by Hexagon</w:t>
            </w:r>
          </w:p>
        </w:tc>
      </w:tr>
      <w:tr w:rsidR="004B3459" w14:paraId="2EE7D21C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D006EB2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4A39CCB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31ACC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that Hexagon provides a home that is well maintained</w:t>
            </w:r>
          </w:p>
        </w:tc>
      </w:tr>
      <w:tr w:rsidR="004B3459" w14:paraId="1E885AC9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E745963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095DCF2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9E94F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that Hexagon provides a home that is safe</w:t>
            </w:r>
          </w:p>
        </w:tc>
      </w:tr>
      <w:tr w:rsidR="004B3459" w14:paraId="1E4A6E11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00F97C0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13D8C93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6A590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that Hexagon keeps communal areas clean and well maintained</w:t>
            </w:r>
          </w:p>
        </w:tc>
      </w:tr>
      <w:tr w:rsidR="004B3459" w14:paraId="0EBC18F9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86D331B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04E5DBE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6EE7B6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with the overall repairs service from Hexagon over the last 12 months</w:t>
            </w:r>
          </w:p>
        </w:tc>
      </w:tr>
      <w:tr w:rsidR="004B3459" w14:paraId="721B4CA6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116C0E0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0F248F6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5DB50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with the time taken to complete most recent repair</w:t>
            </w:r>
          </w:p>
        </w:tc>
      </w:tr>
      <w:tr w:rsidR="004B3459" w14:paraId="5B9D57D3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C586C2D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73AB52C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4FCA6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that Hexagon is easy to deal with</w:t>
            </w:r>
          </w:p>
        </w:tc>
      </w:tr>
      <w:tr w:rsidR="004B3459" w14:paraId="21A65131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E3F2CAB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8A16EFF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BDC12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that Hexagon listens to your views and acts upon them</w:t>
            </w:r>
          </w:p>
        </w:tc>
      </w:tr>
      <w:tr w:rsidR="004B3459" w14:paraId="5DB39EE7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485968D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3ED5938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48373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that Hexagon keeps you informed about things that matter to you</w:t>
            </w:r>
          </w:p>
        </w:tc>
      </w:tr>
      <w:tr w:rsidR="004B3459" w14:paraId="603DD92A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EE3F2BC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9E408F1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37B594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Agree that “Hexagon treats me fairly and with respect”</w:t>
            </w:r>
          </w:p>
        </w:tc>
      </w:tr>
      <w:tr w:rsidR="004B3459" w14:paraId="30355ECA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FC0F766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8DFE768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BD7B70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that Hexagon makes a positive contribution to your neighbourhood</w:t>
            </w:r>
          </w:p>
        </w:tc>
      </w:tr>
      <w:tr w:rsidR="004B3459" w14:paraId="213E173A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A8242D4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24A7184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1BF21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with Hexagon's approach to handling anti-social behaviour</w:t>
            </w:r>
          </w:p>
        </w:tc>
      </w:tr>
      <w:tr w:rsidR="004B3459" w14:paraId="4586D48B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660DD56C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3BC189C5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CF15DF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with Hexagon's approach to complaints handling?</w:t>
            </w:r>
          </w:p>
        </w:tc>
      </w:tr>
      <w:tr w:rsidR="004B3459" w14:paraId="470E5570" w14:textId="77777777" w:rsidTr="004B3459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94ABBD" w14:textId="77777777" w:rsidR="004B3459" w:rsidRPr="004B3459" w:rsidRDefault="004B3459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B3459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>Repairs satisfaction survey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95B277" w14:textId="77777777" w:rsidR="004B3459" w:rsidRDefault="004B3459">
            <w:pPr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71A717B">
              <w:rPr>
                <w:rFonts w:ascii="Arial" w:eastAsia="Arial" w:hAnsi="Arial" w:cs="Arial"/>
                <w:sz w:val="20"/>
                <w:szCs w:val="20"/>
                <w:lang w:eastAsia="en-GB"/>
              </w:rPr>
              <w:t>Transactional</w:t>
            </w:r>
          </w:p>
          <w:p w14:paraId="428D6A4B" w14:textId="670832E7" w:rsidR="004B3459" w:rsidRDefault="004B3459">
            <w:pPr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71A717B">
              <w:rPr>
                <w:rFonts w:ascii="Arial" w:eastAsia="Arial" w:hAnsi="Arial" w:cs="Arial"/>
                <w:i/>
                <w:iCs/>
                <w:sz w:val="18"/>
                <w:szCs w:val="18"/>
                <w:lang w:eastAsia="en-GB"/>
              </w:rPr>
              <w:t>(sent after a works order is completed)</w:t>
            </w:r>
          </w:p>
        </w:tc>
        <w:tc>
          <w:tcPr>
            <w:tcW w:w="113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33AA05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with the overall repair service provided by Gilmartins, on behalf of Hexagon, on this occasion</w:t>
            </w:r>
          </w:p>
        </w:tc>
      </w:tr>
      <w:tr w:rsidR="004B3459" w14:paraId="4CC7E73A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07871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936DB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CA450D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with the speed of completion of the work</w:t>
            </w:r>
          </w:p>
        </w:tc>
      </w:tr>
      <w:tr w:rsidR="004B3459" w14:paraId="0AB1A7DD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E7E4E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02ED5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17993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with the overall quality of the work</w:t>
            </w:r>
          </w:p>
        </w:tc>
      </w:tr>
      <w:tr w:rsidR="004B3459" w14:paraId="49358327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18A40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A19639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D0996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with keeping dirt and mess to a minimum</w:t>
            </w:r>
          </w:p>
        </w:tc>
      </w:tr>
      <w:tr w:rsidR="004B3459" w14:paraId="575FA761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549D6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E58FA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85E8A" w14:textId="4F9D75BE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that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Hexagon was easy to deal with</w:t>
            </w:r>
          </w:p>
        </w:tc>
      </w:tr>
      <w:tr w:rsidR="004B3459" w14:paraId="40C67D83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A50683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F79400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F5979F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confirm that the contractor arrived during the agreed timeslot</w:t>
            </w:r>
          </w:p>
        </w:tc>
      </w:tr>
      <w:tr w:rsidR="004B3459" w14:paraId="5EA347D0" w14:textId="77777777" w:rsidTr="004B3459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C9E0C3" w14:textId="77777777" w:rsidR="004B3459" w:rsidRPr="004B3459" w:rsidRDefault="004B3459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B3459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>Contact centre satisfaction survey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D105D1" w14:textId="77777777" w:rsidR="004B3459" w:rsidRDefault="004B3459">
            <w:pPr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71A717B">
              <w:rPr>
                <w:rFonts w:ascii="Arial" w:eastAsia="Arial" w:hAnsi="Arial" w:cs="Arial"/>
                <w:sz w:val="20"/>
                <w:szCs w:val="20"/>
                <w:lang w:eastAsia="en-GB"/>
              </w:rPr>
              <w:t>Transactional</w:t>
            </w:r>
          </w:p>
          <w:p w14:paraId="70C047F8" w14:textId="49EC644F" w:rsidR="004B3459" w:rsidRDefault="004B3459">
            <w:pPr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71A717B">
              <w:rPr>
                <w:rFonts w:ascii="Arial" w:eastAsia="Arial" w:hAnsi="Arial" w:cs="Arial"/>
                <w:i/>
                <w:iCs/>
                <w:sz w:val="18"/>
                <w:szCs w:val="18"/>
                <w:lang w:eastAsia="en-GB"/>
              </w:rPr>
              <w:t>(sent after a call to the contact centre is completed)</w:t>
            </w:r>
          </w:p>
        </w:tc>
        <w:tc>
          <w:tcPr>
            <w:tcW w:w="113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95D89A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with the adviser who helped you</w:t>
            </w:r>
          </w:p>
        </w:tc>
      </w:tr>
      <w:tr w:rsidR="004B3459" w14:paraId="3BFDC333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6D56C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6686D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0EF6C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with the attitude of our customer adviser</w:t>
            </w:r>
          </w:p>
        </w:tc>
      </w:tr>
      <w:tr w:rsidR="004B3459" w14:paraId="2E38BBB6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64184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C197A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A43D2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with the customer care you received</w:t>
            </w:r>
          </w:p>
        </w:tc>
      </w:tr>
      <w:tr w:rsidR="004B3459" w14:paraId="61134D26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60896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449AC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B0388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satisfied that you received the result you needed</w:t>
            </w:r>
          </w:p>
        </w:tc>
      </w:tr>
      <w:tr w:rsidR="004B3459" w14:paraId="33D8980A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83955A" w14:textId="77777777" w:rsidR="004B3459" w:rsidRPr="004B3459" w:rsidRDefault="004B345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0582C7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76C10B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overall satisfied with the contact centre</w:t>
            </w:r>
          </w:p>
        </w:tc>
      </w:tr>
      <w:tr w:rsidR="004B3459" w14:paraId="08D09BCC" w14:textId="77777777" w:rsidTr="004B3459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4D97B2" w14:textId="77777777" w:rsidR="004B3459" w:rsidRPr="004B3459" w:rsidRDefault="004B3459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B3459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>Lettings satisfaction survey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EE075E" w14:textId="77777777" w:rsidR="004B3459" w:rsidRDefault="004B3459">
            <w:pPr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71A717B">
              <w:rPr>
                <w:rFonts w:ascii="Arial" w:eastAsia="Arial" w:hAnsi="Arial" w:cs="Arial"/>
                <w:sz w:val="20"/>
                <w:szCs w:val="20"/>
                <w:lang w:eastAsia="en-GB"/>
              </w:rPr>
              <w:t>Transactional</w:t>
            </w:r>
          </w:p>
          <w:p w14:paraId="16C135E6" w14:textId="49D8D19B" w:rsidR="004B3459" w:rsidRDefault="004B3459">
            <w:pPr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71A717B">
              <w:rPr>
                <w:rFonts w:ascii="Arial" w:eastAsia="Arial" w:hAnsi="Arial" w:cs="Arial"/>
                <w:i/>
                <w:iCs/>
                <w:sz w:val="18"/>
                <w:szCs w:val="18"/>
                <w:lang w:eastAsia="en-GB"/>
              </w:rPr>
              <w:t>(sent after a new rental agreement is created)</w:t>
            </w:r>
          </w:p>
        </w:tc>
        <w:tc>
          <w:tcPr>
            <w:tcW w:w="113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3D6ECE" w14:textId="48E2A07A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agree that “the information received throughout the viewing and sign-up process was clear and easy to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understand”</w:t>
            </w:r>
          </w:p>
        </w:tc>
      </w:tr>
      <w:tr w:rsidR="004B3459" w14:paraId="26C683F3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5951C" w14:textId="77777777" w:rsidR="004B3459" w:rsidRDefault="004B3459"/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62F41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FD9E1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agree that “any questions or queries I had regarding the property and sign-up process were answered quickly and efficiently”</w:t>
            </w:r>
          </w:p>
        </w:tc>
      </w:tr>
      <w:tr w:rsidR="004B3459" w14:paraId="3E5D622C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C0DABE" w14:textId="77777777" w:rsidR="004B3459" w:rsidRDefault="004B3459"/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48038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07ABFA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agree that “I received all of the necessary information about the property when I moved in”</w:t>
            </w:r>
          </w:p>
        </w:tc>
      </w:tr>
      <w:tr w:rsidR="004B3459" w14:paraId="1B120841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C0F59" w14:textId="77777777" w:rsidR="004B3459" w:rsidRDefault="004B3459"/>
        </w:tc>
        <w:tc>
          <w:tcPr>
            <w:tcW w:w="170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5893F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F0D67" w14:textId="77777777" w:rsidR="004B3459" w:rsidRDefault="004B345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agree that “I found Hexagon easy to deal with throughout the process”</w:t>
            </w:r>
          </w:p>
        </w:tc>
      </w:tr>
      <w:tr w:rsidR="004B3459" w14:paraId="2474021A" w14:textId="77777777" w:rsidTr="004B3459">
        <w:trPr>
          <w:trHeight w:val="300"/>
        </w:trPr>
        <w:tc>
          <w:tcPr>
            <w:tcW w:w="141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D3654E" w14:textId="77777777" w:rsidR="004B3459" w:rsidRDefault="004B3459"/>
        </w:tc>
        <w:tc>
          <w:tcPr>
            <w:tcW w:w="170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E223F2" w14:textId="77777777" w:rsidR="004B3459" w:rsidRDefault="004B3459"/>
        </w:tc>
        <w:tc>
          <w:tcPr>
            <w:tcW w:w="113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89E71C" w14:textId="77777777" w:rsidR="004B3459" w:rsidRDefault="004B345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1A71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 agree that “overall, I was happy with the overall lettings process”</w:t>
            </w:r>
          </w:p>
        </w:tc>
      </w:tr>
    </w:tbl>
    <w:p w14:paraId="6EE33486" w14:textId="340AA1A6" w:rsidR="008E3A9B" w:rsidRDefault="008E3A9B" w:rsidP="004B345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8E3A9B" w:rsidSect="004B34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5103" w14:textId="77777777" w:rsidR="00CA6BF6" w:rsidRDefault="00CA6BF6" w:rsidP="00203A7D">
      <w:pPr>
        <w:spacing w:after="0" w:line="240" w:lineRule="auto"/>
      </w:pPr>
      <w:r>
        <w:separator/>
      </w:r>
    </w:p>
  </w:endnote>
  <w:endnote w:type="continuationSeparator" w:id="0">
    <w:p w14:paraId="42F2D778" w14:textId="77777777" w:rsidR="00CA6BF6" w:rsidRDefault="00CA6BF6" w:rsidP="00203A7D">
      <w:pPr>
        <w:spacing w:after="0" w:line="240" w:lineRule="auto"/>
      </w:pPr>
      <w:r>
        <w:continuationSeparator/>
      </w:r>
    </w:p>
  </w:endnote>
  <w:endnote w:type="continuationNotice" w:id="1">
    <w:p w14:paraId="4CC77350" w14:textId="77777777" w:rsidR="00CA6BF6" w:rsidRDefault="00CA6B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9DF1" w14:textId="77777777" w:rsidR="00C86172" w:rsidRDefault="00C86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AAC5" w14:textId="77777777" w:rsidR="00C86172" w:rsidRDefault="00C86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2A1E" w14:textId="77777777" w:rsidR="00C86172" w:rsidRDefault="00C86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E379" w14:textId="77777777" w:rsidR="00CA6BF6" w:rsidRDefault="00CA6BF6" w:rsidP="00203A7D">
      <w:pPr>
        <w:spacing w:after="0" w:line="240" w:lineRule="auto"/>
      </w:pPr>
      <w:r>
        <w:separator/>
      </w:r>
    </w:p>
  </w:footnote>
  <w:footnote w:type="continuationSeparator" w:id="0">
    <w:p w14:paraId="3A16611C" w14:textId="77777777" w:rsidR="00CA6BF6" w:rsidRDefault="00CA6BF6" w:rsidP="00203A7D">
      <w:pPr>
        <w:spacing w:after="0" w:line="240" w:lineRule="auto"/>
      </w:pPr>
      <w:r>
        <w:continuationSeparator/>
      </w:r>
    </w:p>
  </w:footnote>
  <w:footnote w:type="continuationNotice" w:id="1">
    <w:p w14:paraId="7838A9A1" w14:textId="77777777" w:rsidR="00CA6BF6" w:rsidRDefault="00CA6B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433C" w14:textId="77777777" w:rsidR="00C86172" w:rsidRDefault="00C86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8113" w14:textId="77777777" w:rsidR="00C86172" w:rsidRDefault="00C86172" w:rsidP="00203A7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32A0" w14:textId="77777777" w:rsidR="00C86172" w:rsidRDefault="00C86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99B"/>
    <w:multiLevelType w:val="multilevel"/>
    <w:tmpl w:val="0512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256BA"/>
    <w:multiLevelType w:val="hybridMultilevel"/>
    <w:tmpl w:val="E62E275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D6838"/>
    <w:multiLevelType w:val="hybridMultilevel"/>
    <w:tmpl w:val="48BCA3D6"/>
    <w:lvl w:ilvl="0" w:tplc="ED48AA42">
      <w:start w:val="1"/>
      <w:numFmt w:val="lowerLetter"/>
      <w:lvlText w:val="%1."/>
      <w:lvlJc w:val="left"/>
      <w:pPr>
        <w:ind w:left="1080" w:hanging="360"/>
      </w:pPr>
      <w:rPr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77AE8"/>
    <w:multiLevelType w:val="multilevel"/>
    <w:tmpl w:val="BE007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4EC49C0"/>
    <w:multiLevelType w:val="hybridMultilevel"/>
    <w:tmpl w:val="DDA0C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22EC8"/>
    <w:multiLevelType w:val="hybridMultilevel"/>
    <w:tmpl w:val="DB6C4D4A"/>
    <w:lvl w:ilvl="0" w:tplc="ED48AA42">
      <w:start w:val="1"/>
      <w:numFmt w:val="lowerLetter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08B0"/>
    <w:multiLevelType w:val="hybridMultilevel"/>
    <w:tmpl w:val="EF1CA2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06AD5"/>
    <w:multiLevelType w:val="hybridMultilevel"/>
    <w:tmpl w:val="60A61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F5D61"/>
    <w:multiLevelType w:val="multilevel"/>
    <w:tmpl w:val="31DC51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A93B51"/>
    <w:multiLevelType w:val="multilevel"/>
    <w:tmpl w:val="84C4B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FE260FF"/>
    <w:multiLevelType w:val="hybridMultilevel"/>
    <w:tmpl w:val="AF64FA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8B642C"/>
    <w:multiLevelType w:val="hybridMultilevel"/>
    <w:tmpl w:val="8DB6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A3F91"/>
    <w:multiLevelType w:val="multilevel"/>
    <w:tmpl w:val="A3847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ody"/>
      <w:lvlText w:val="%1.%2."/>
      <w:lvlJc w:val="left"/>
      <w:pPr>
        <w:ind w:left="964" w:hanging="604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C558EA"/>
    <w:multiLevelType w:val="multilevel"/>
    <w:tmpl w:val="F482A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A71238"/>
    <w:multiLevelType w:val="hybridMultilevel"/>
    <w:tmpl w:val="48BCA3D6"/>
    <w:lvl w:ilvl="0" w:tplc="ED48AA42">
      <w:start w:val="1"/>
      <w:numFmt w:val="lowerLetter"/>
      <w:lvlText w:val="%1."/>
      <w:lvlJc w:val="left"/>
      <w:pPr>
        <w:ind w:left="1080" w:hanging="360"/>
      </w:pPr>
      <w:rPr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4C48DE"/>
    <w:multiLevelType w:val="hybridMultilevel"/>
    <w:tmpl w:val="D61EB8A4"/>
    <w:lvl w:ilvl="0" w:tplc="85C419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D48AA42">
      <w:start w:val="1"/>
      <w:numFmt w:val="lowerLetter"/>
      <w:lvlText w:val="%2."/>
      <w:lvlJc w:val="left"/>
      <w:pPr>
        <w:ind w:left="1080" w:hanging="360"/>
      </w:pPr>
      <w:rPr>
        <w:b w:val="0"/>
        <w:bCs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5820F9"/>
    <w:multiLevelType w:val="multilevel"/>
    <w:tmpl w:val="7194CD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5D78E3"/>
    <w:multiLevelType w:val="hybridMultilevel"/>
    <w:tmpl w:val="CB621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D29E7"/>
    <w:multiLevelType w:val="hybridMultilevel"/>
    <w:tmpl w:val="2966BC70"/>
    <w:lvl w:ilvl="0" w:tplc="E6888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D5FAD"/>
    <w:multiLevelType w:val="hybridMultilevel"/>
    <w:tmpl w:val="3D82302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F15BC"/>
    <w:multiLevelType w:val="hybridMultilevel"/>
    <w:tmpl w:val="E68C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F24B2"/>
    <w:multiLevelType w:val="multilevel"/>
    <w:tmpl w:val="17EC3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676316F"/>
    <w:multiLevelType w:val="hybridMultilevel"/>
    <w:tmpl w:val="EB0A7D98"/>
    <w:lvl w:ilvl="0" w:tplc="00F62F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475A3"/>
    <w:multiLevelType w:val="hybridMultilevel"/>
    <w:tmpl w:val="1634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D6129"/>
    <w:multiLevelType w:val="hybridMultilevel"/>
    <w:tmpl w:val="6EC28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8135C8"/>
    <w:multiLevelType w:val="hybridMultilevel"/>
    <w:tmpl w:val="D7DE05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C74517"/>
    <w:multiLevelType w:val="multilevel"/>
    <w:tmpl w:val="709232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39E64B6"/>
    <w:multiLevelType w:val="multilevel"/>
    <w:tmpl w:val="CFEC1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4416E0"/>
    <w:multiLevelType w:val="multilevel"/>
    <w:tmpl w:val="9F62F2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4D4615"/>
    <w:multiLevelType w:val="multilevel"/>
    <w:tmpl w:val="BF2EE0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7C5006"/>
    <w:multiLevelType w:val="multilevel"/>
    <w:tmpl w:val="A8B6C4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893B3D"/>
    <w:multiLevelType w:val="multilevel"/>
    <w:tmpl w:val="93CC5F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20559576">
    <w:abstractNumId w:val="15"/>
  </w:num>
  <w:num w:numId="2" w16cid:durableId="372463869">
    <w:abstractNumId w:val="21"/>
  </w:num>
  <w:num w:numId="3" w16cid:durableId="678388862">
    <w:abstractNumId w:val="3"/>
  </w:num>
  <w:num w:numId="4" w16cid:durableId="2073312665">
    <w:abstractNumId w:val="28"/>
  </w:num>
  <w:num w:numId="5" w16cid:durableId="57826871">
    <w:abstractNumId w:val="16"/>
  </w:num>
  <w:num w:numId="6" w16cid:durableId="908885376">
    <w:abstractNumId w:val="26"/>
  </w:num>
  <w:num w:numId="7" w16cid:durableId="1949310814">
    <w:abstractNumId w:val="31"/>
  </w:num>
  <w:num w:numId="8" w16cid:durableId="944578565">
    <w:abstractNumId w:val="8"/>
  </w:num>
  <w:num w:numId="9" w16cid:durableId="1366785615">
    <w:abstractNumId w:val="7"/>
  </w:num>
  <w:num w:numId="10" w16cid:durableId="125661162">
    <w:abstractNumId w:val="29"/>
  </w:num>
  <w:num w:numId="11" w16cid:durableId="1148594928">
    <w:abstractNumId w:val="20"/>
  </w:num>
  <w:num w:numId="12" w16cid:durableId="1924562488">
    <w:abstractNumId w:val="1"/>
  </w:num>
  <w:num w:numId="13" w16cid:durableId="1637104366">
    <w:abstractNumId w:val="18"/>
  </w:num>
  <w:num w:numId="14" w16cid:durableId="1935243563">
    <w:abstractNumId w:val="14"/>
  </w:num>
  <w:num w:numId="15" w16cid:durableId="201215693">
    <w:abstractNumId w:val="2"/>
  </w:num>
  <w:num w:numId="16" w16cid:durableId="1055393229">
    <w:abstractNumId w:val="5"/>
  </w:num>
  <w:num w:numId="17" w16cid:durableId="13847793">
    <w:abstractNumId w:val="22"/>
  </w:num>
  <w:num w:numId="18" w16cid:durableId="582032352">
    <w:abstractNumId w:val="10"/>
  </w:num>
  <w:num w:numId="19" w16cid:durableId="1068962432">
    <w:abstractNumId w:val="24"/>
  </w:num>
  <w:num w:numId="20" w16cid:durableId="1662999808">
    <w:abstractNumId w:val="6"/>
  </w:num>
  <w:num w:numId="21" w16cid:durableId="1970162258">
    <w:abstractNumId w:val="27"/>
  </w:num>
  <w:num w:numId="22" w16cid:durableId="2053966175">
    <w:abstractNumId w:val="9"/>
  </w:num>
  <w:num w:numId="23" w16cid:durableId="240675678">
    <w:abstractNumId w:val="12"/>
  </w:num>
  <w:num w:numId="24" w16cid:durableId="2093578422">
    <w:abstractNumId w:val="19"/>
  </w:num>
  <w:num w:numId="25" w16cid:durableId="98113350">
    <w:abstractNumId w:val="13"/>
  </w:num>
  <w:num w:numId="26" w16cid:durableId="1627394674">
    <w:abstractNumId w:val="17"/>
  </w:num>
  <w:num w:numId="27" w16cid:durableId="204873834">
    <w:abstractNumId w:val="0"/>
  </w:num>
  <w:num w:numId="28" w16cid:durableId="719061053">
    <w:abstractNumId w:val="25"/>
  </w:num>
  <w:num w:numId="29" w16cid:durableId="649141502">
    <w:abstractNumId w:val="4"/>
  </w:num>
  <w:num w:numId="30" w16cid:durableId="2083798374">
    <w:abstractNumId w:val="11"/>
  </w:num>
  <w:num w:numId="31" w16cid:durableId="834077220">
    <w:abstractNumId w:val="30"/>
  </w:num>
  <w:num w:numId="32" w16cid:durableId="101168777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09"/>
    <w:rsid w:val="00001828"/>
    <w:rsid w:val="00005EE5"/>
    <w:rsid w:val="0001194D"/>
    <w:rsid w:val="000224EF"/>
    <w:rsid w:val="00023FF9"/>
    <w:rsid w:val="00025AD5"/>
    <w:rsid w:val="00027823"/>
    <w:rsid w:val="00034642"/>
    <w:rsid w:val="0004219B"/>
    <w:rsid w:val="00043D60"/>
    <w:rsid w:val="00050590"/>
    <w:rsid w:val="00051B07"/>
    <w:rsid w:val="000604AE"/>
    <w:rsid w:val="000604ED"/>
    <w:rsid w:val="00060DB8"/>
    <w:rsid w:val="00061CEF"/>
    <w:rsid w:val="0006322C"/>
    <w:rsid w:val="0006410C"/>
    <w:rsid w:val="00072106"/>
    <w:rsid w:val="000758C0"/>
    <w:rsid w:val="0007756C"/>
    <w:rsid w:val="00077B69"/>
    <w:rsid w:val="00077FEF"/>
    <w:rsid w:val="000800F1"/>
    <w:rsid w:val="00080789"/>
    <w:rsid w:val="000847A6"/>
    <w:rsid w:val="000868D7"/>
    <w:rsid w:val="00086BE3"/>
    <w:rsid w:val="00091293"/>
    <w:rsid w:val="000935BE"/>
    <w:rsid w:val="00097F22"/>
    <w:rsid w:val="000A0562"/>
    <w:rsid w:val="000A3B76"/>
    <w:rsid w:val="000A6D44"/>
    <w:rsid w:val="000B078B"/>
    <w:rsid w:val="000B127F"/>
    <w:rsid w:val="000B2643"/>
    <w:rsid w:val="000B2DE5"/>
    <w:rsid w:val="000B3A38"/>
    <w:rsid w:val="000B5174"/>
    <w:rsid w:val="000B51A1"/>
    <w:rsid w:val="000B5239"/>
    <w:rsid w:val="000B60B6"/>
    <w:rsid w:val="000C3A87"/>
    <w:rsid w:val="000D3099"/>
    <w:rsid w:val="000D3392"/>
    <w:rsid w:val="000D5AE3"/>
    <w:rsid w:val="000D606F"/>
    <w:rsid w:val="000D6617"/>
    <w:rsid w:val="000D6FDA"/>
    <w:rsid w:val="000E0165"/>
    <w:rsid w:val="000E3500"/>
    <w:rsid w:val="000E3E81"/>
    <w:rsid w:val="000E5E19"/>
    <w:rsid w:val="000E7B2A"/>
    <w:rsid w:val="000F249A"/>
    <w:rsid w:val="000F3C68"/>
    <w:rsid w:val="000F40EA"/>
    <w:rsid w:val="000F6B65"/>
    <w:rsid w:val="000F7A69"/>
    <w:rsid w:val="00100A79"/>
    <w:rsid w:val="001062EE"/>
    <w:rsid w:val="00106769"/>
    <w:rsid w:val="00110323"/>
    <w:rsid w:val="0011049E"/>
    <w:rsid w:val="00114755"/>
    <w:rsid w:val="00115CE0"/>
    <w:rsid w:val="00116ABE"/>
    <w:rsid w:val="00117C7A"/>
    <w:rsid w:val="0012047A"/>
    <w:rsid w:val="00125BBB"/>
    <w:rsid w:val="00126155"/>
    <w:rsid w:val="00127C30"/>
    <w:rsid w:val="00133F1E"/>
    <w:rsid w:val="001341CD"/>
    <w:rsid w:val="00136164"/>
    <w:rsid w:val="00137B3C"/>
    <w:rsid w:val="00145014"/>
    <w:rsid w:val="00145EAA"/>
    <w:rsid w:val="00151F17"/>
    <w:rsid w:val="00153D86"/>
    <w:rsid w:val="00154EEF"/>
    <w:rsid w:val="001673AA"/>
    <w:rsid w:val="001675DF"/>
    <w:rsid w:val="0017090D"/>
    <w:rsid w:val="00173DC1"/>
    <w:rsid w:val="00174C87"/>
    <w:rsid w:val="001763FA"/>
    <w:rsid w:val="001801B5"/>
    <w:rsid w:val="001818FA"/>
    <w:rsid w:val="00181BD1"/>
    <w:rsid w:val="001830C1"/>
    <w:rsid w:val="001838C6"/>
    <w:rsid w:val="00185D40"/>
    <w:rsid w:val="00194143"/>
    <w:rsid w:val="00196818"/>
    <w:rsid w:val="001A2942"/>
    <w:rsid w:val="001A2F4C"/>
    <w:rsid w:val="001B6438"/>
    <w:rsid w:val="001C6718"/>
    <w:rsid w:val="001D1AC5"/>
    <w:rsid w:val="001D60B8"/>
    <w:rsid w:val="001E1165"/>
    <w:rsid w:val="001E1979"/>
    <w:rsid w:val="001E3D05"/>
    <w:rsid w:val="001E4D8D"/>
    <w:rsid w:val="001E7C28"/>
    <w:rsid w:val="00203256"/>
    <w:rsid w:val="00203A7D"/>
    <w:rsid w:val="0020485B"/>
    <w:rsid w:val="0020757B"/>
    <w:rsid w:val="00214C62"/>
    <w:rsid w:val="0021774E"/>
    <w:rsid w:val="002205C0"/>
    <w:rsid w:val="00223A1B"/>
    <w:rsid w:val="002247B4"/>
    <w:rsid w:val="00224F8B"/>
    <w:rsid w:val="00227C35"/>
    <w:rsid w:val="00231884"/>
    <w:rsid w:val="00231E9C"/>
    <w:rsid w:val="00232DCB"/>
    <w:rsid w:val="00237535"/>
    <w:rsid w:val="00237993"/>
    <w:rsid w:val="00241120"/>
    <w:rsid w:val="00242290"/>
    <w:rsid w:val="00242977"/>
    <w:rsid w:val="00250000"/>
    <w:rsid w:val="00250B7C"/>
    <w:rsid w:val="002526CC"/>
    <w:rsid w:val="002531E8"/>
    <w:rsid w:val="0025512F"/>
    <w:rsid w:val="00261115"/>
    <w:rsid w:val="0026144F"/>
    <w:rsid w:val="00261EE8"/>
    <w:rsid w:val="00262532"/>
    <w:rsid w:val="0026303D"/>
    <w:rsid w:val="002679B0"/>
    <w:rsid w:val="00270450"/>
    <w:rsid w:val="002759C5"/>
    <w:rsid w:val="0028093C"/>
    <w:rsid w:val="00280A40"/>
    <w:rsid w:val="00282B7B"/>
    <w:rsid w:val="00286365"/>
    <w:rsid w:val="00287D52"/>
    <w:rsid w:val="00291451"/>
    <w:rsid w:val="00292776"/>
    <w:rsid w:val="002927B0"/>
    <w:rsid w:val="002966B7"/>
    <w:rsid w:val="00296B80"/>
    <w:rsid w:val="002A4FAD"/>
    <w:rsid w:val="002A7CE6"/>
    <w:rsid w:val="002A7E1D"/>
    <w:rsid w:val="002B4D7C"/>
    <w:rsid w:val="002B6801"/>
    <w:rsid w:val="002B6ACB"/>
    <w:rsid w:val="002C1F39"/>
    <w:rsid w:val="002D0DD5"/>
    <w:rsid w:val="002D1E36"/>
    <w:rsid w:val="002D62E4"/>
    <w:rsid w:val="002D76D6"/>
    <w:rsid w:val="002E230F"/>
    <w:rsid w:val="002E3ECF"/>
    <w:rsid w:val="002E68FF"/>
    <w:rsid w:val="002F0F28"/>
    <w:rsid w:val="002F2419"/>
    <w:rsid w:val="002F40B5"/>
    <w:rsid w:val="002F47CC"/>
    <w:rsid w:val="002F689F"/>
    <w:rsid w:val="003021E8"/>
    <w:rsid w:val="00305F98"/>
    <w:rsid w:val="003203FB"/>
    <w:rsid w:val="00320F3C"/>
    <w:rsid w:val="00324E60"/>
    <w:rsid w:val="00324FBA"/>
    <w:rsid w:val="003262FC"/>
    <w:rsid w:val="00330D55"/>
    <w:rsid w:val="00330DD5"/>
    <w:rsid w:val="003329A5"/>
    <w:rsid w:val="00334539"/>
    <w:rsid w:val="003359E6"/>
    <w:rsid w:val="00342C64"/>
    <w:rsid w:val="0034406C"/>
    <w:rsid w:val="00350E0D"/>
    <w:rsid w:val="00352C97"/>
    <w:rsid w:val="003562F6"/>
    <w:rsid w:val="003627C6"/>
    <w:rsid w:val="00367CEB"/>
    <w:rsid w:val="0037540E"/>
    <w:rsid w:val="00375CD0"/>
    <w:rsid w:val="0038317C"/>
    <w:rsid w:val="00383435"/>
    <w:rsid w:val="00383E23"/>
    <w:rsid w:val="00385FA9"/>
    <w:rsid w:val="00391854"/>
    <w:rsid w:val="00391943"/>
    <w:rsid w:val="003923A3"/>
    <w:rsid w:val="003927A7"/>
    <w:rsid w:val="0039285C"/>
    <w:rsid w:val="00394A2C"/>
    <w:rsid w:val="003A5956"/>
    <w:rsid w:val="003B1AB1"/>
    <w:rsid w:val="003B3997"/>
    <w:rsid w:val="003B56C5"/>
    <w:rsid w:val="003B5E11"/>
    <w:rsid w:val="003C158C"/>
    <w:rsid w:val="003C231D"/>
    <w:rsid w:val="003C4203"/>
    <w:rsid w:val="003C631C"/>
    <w:rsid w:val="003D0D73"/>
    <w:rsid w:val="003D3A52"/>
    <w:rsid w:val="003E0829"/>
    <w:rsid w:val="003E0CB7"/>
    <w:rsid w:val="003E315D"/>
    <w:rsid w:val="003E34B1"/>
    <w:rsid w:val="003E3706"/>
    <w:rsid w:val="003E70BD"/>
    <w:rsid w:val="003E728C"/>
    <w:rsid w:val="003F7F73"/>
    <w:rsid w:val="004008C0"/>
    <w:rsid w:val="00400CFC"/>
    <w:rsid w:val="00402885"/>
    <w:rsid w:val="00402C90"/>
    <w:rsid w:val="00403290"/>
    <w:rsid w:val="00403448"/>
    <w:rsid w:val="00404C68"/>
    <w:rsid w:val="00404FDC"/>
    <w:rsid w:val="004105B6"/>
    <w:rsid w:val="00410B86"/>
    <w:rsid w:val="0041129B"/>
    <w:rsid w:val="004160EF"/>
    <w:rsid w:val="0041651A"/>
    <w:rsid w:val="00420176"/>
    <w:rsid w:val="0042099B"/>
    <w:rsid w:val="00421285"/>
    <w:rsid w:val="00421CE1"/>
    <w:rsid w:val="00425B48"/>
    <w:rsid w:val="00432DA1"/>
    <w:rsid w:val="00434459"/>
    <w:rsid w:val="00435000"/>
    <w:rsid w:val="004379BB"/>
    <w:rsid w:val="00441E45"/>
    <w:rsid w:val="00443A39"/>
    <w:rsid w:val="00443DDF"/>
    <w:rsid w:val="004447E1"/>
    <w:rsid w:val="00445CFD"/>
    <w:rsid w:val="004545A2"/>
    <w:rsid w:val="00456A7C"/>
    <w:rsid w:val="0045785D"/>
    <w:rsid w:val="00461934"/>
    <w:rsid w:val="00461E02"/>
    <w:rsid w:val="00464494"/>
    <w:rsid w:val="004656A4"/>
    <w:rsid w:val="00467074"/>
    <w:rsid w:val="0048161D"/>
    <w:rsid w:val="00487122"/>
    <w:rsid w:val="00487709"/>
    <w:rsid w:val="00487CE5"/>
    <w:rsid w:val="0049500B"/>
    <w:rsid w:val="004A5541"/>
    <w:rsid w:val="004A5C1A"/>
    <w:rsid w:val="004B1973"/>
    <w:rsid w:val="004B32BA"/>
    <w:rsid w:val="004B3459"/>
    <w:rsid w:val="004B6F09"/>
    <w:rsid w:val="004B7179"/>
    <w:rsid w:val="004B7521"/>
    <w:rsid w:val="004B762D"/>
    <w:rsid w:val="004B7E32"/>
    <w:rsid w:val="004C4C30"/>
    <w:rsid w:val="004C528E"/>
    <w:rsid w:val="004C6D34"/>
    <w:rsid w:val="004C7C84"/>
    <w:rsid w:val="004D079E"/>
    <w:rsid w:val="004D7109"/>
    <w:rsid w:val="004E0EB2"/>
    <w:rsid w:val="004E2C7C"/>
    <w:rsid w:val="004E5D2D"/>
    <w:rsid w:val="004E6078"/>
    <w:rsid w:val="004E6646"/>
    <w:rsid w:val="004E78FB"/>
    <w:rsid w:val="004F07CD"/>
    <w:rsid w:val="004F0AEC"/>
    <w:rsid w:val="004F11B1"/>
    <w:rsid w:val="004F52D5"/>
    <w:rsid w:val="004F55C5"/>
    <w:rsid w:val="004F5D02"/>
    <w:rsid w:val="005072F8"/>
    <w:rsid w:val="00507EC5"/>
    <w:rsid w:val="00510FCD"/>
    <w:rsid w:val="0051457A"/>
    <w:rsid w:val="00515ABB"/>
    <w:rsid w:val="00516A66"/>
    <w:rsid w:val="00524556"/>
    <w:rsid w:val="005251D3"/>
    <w:rsid w:val="00526926"/>
    <w:rsid w:val="00526B6F"/>
    <w:rsid w:val="0053029B"/>
    <w:rsid w:val="00530733"/>
    <w:rsid w:val="00532408"/>
    <w:rsid w:val="00537E94"/>
    <w:rsid w:val="00541A28"/>
    <w:rsid w:val="00543B1B"/>
    <w:rsid w:val="00544567"/>
    <w:rsid w:val="0054469B"/>
    <w:rsid w:val="00553601"/>
    <w:rsid w:val="005615C2"/>
    <w:rsid w:val="00561F71"/>
    <w:rsid w:val="00562A13"/>
    <w:rsid w:val="00562B4C"/>
    <w:rsid w:val="0056365F"/>
    <w:rsid w:val="00564AD8"/>
    <w:rsid w:val="00565D48"/>
    <w:rsid w:val="00570A10"/>
    <w:rsid w:val="00571738"/>
    <w:rsid w:val="005775BB"/>
    <w:rsid w:val="0058046E"/>
    <w:rsid w:val="005813E0"/>
    <w:rsid w:val="00584DCD"/>
    <w:rsid w:val="00585FA0"/>
    <w:rsid w:val="00587C35"/>
    <w:rsid w:val="0059273E"/>
    <w:rsid w:val="00594C57"/>
    <w:rsid w:val="00595C0F"/>
    <w:rsid w:val="005967FD"/>
    <w:rsid w:val="005A5019"/>
    <w:rsid w:val="005B3B74"/>
    <w:rsid w:val="005B6AB7"/>
    <w:rsid w:val="005C275C"/>
    <w:rsid w:val="005C2A08"/>
    <w:rsid w:val="005C3BC6"/>
    <w:rsid w:val="005C5CE3"/>
    <w:rsid w:val="005D1F9C"/>
    <w:rsid w:val="005E5327"/>
    <w:rsid w:val="005E6F6D"/>
    <w:rsid w:val="005F1A5F"/>
    <w:rsid w:val="005F6788"/>
    <w:rsid w:val="0060193A"/>
    <w:rsid w:val="00601CF3"/>
    <w:rsid w:val="00601E5E"/>
    <w:rsid w:val="00603A78"/>
    <w:rsid w:val="00605ECB"/>
    <w:rsid w:val="00606207"/>
    <w:rsid w:val="00612251"/>
    <w:rsid w:val="006136A9"/>
    <w:rsid w:val="00620AFC"/>
    <w:rsid w:val="0062295F"/>
    <w:rsid w:val="00625073"/>
    <w:rsid w:val="00631566"/>
    <w:rsid w:val="006321D3"/>
    <w:rsid w:val="0063591B"/>
    <w:rsid w:val="00635FE3"/>
    <w:rsid w:val="00636CA0"/>
    <w:rsid w:val="006411CA"/>
    <w:rsid w:val="00642B2C"/>
    <w:rsid w:val="00655791"/>
    <w:rsid w:val="006558EA"/>
    <w:rsid w:val="00657BAB"/>
    <w:rsid w:val="00657D21"/>
    <w:rsid w:val="00657DEA"/>
    <w:rsid w:val="006623D0"/>
    <w:rsid w:val="00671015"/>
    <w:rsid w:val="00671853"/>
    <w:rsid w:val="00672155"/>
    <w:rsid w:val="0067231F"/>
    <w:rsid w:val="006723E9"/>
    <w:rsid w:val="00674C7A"/>
    <w:rsid w:val="00684548"/>
    <w:rsid w:val="006912CD"/>
    <w:rsid w:val="00691538"/>
    <w:rsid w:val="00691930"/>
    <w:rsid w:val="00695F84"/>
    <w:rsid w:val="00696CDF"/>
    <w:rsid w:val="0069745F"/>
    <w:rsid w:val="006A02C0"/>
    <w:rsid w:val="006A2F6F"/>
    <w:rsid w:val="006B5109"/>
    <w:rsid w:val="006C03B7"/>
    <w:rsid w:val="006C1171"/>
    <w:rsid w:val="006C21AF"/>
    <w:rsid w:val="006C3F88"/>
    <w:rsid w:val="006D0B78"/>
    <w:rsid w:val="006D37B5"/>
    <w:rsid w:val="006D3C95"/>
    <w:rsid w:val="006D488D"/>
    <w:rsid w:val="006D6EAF"/>
    <w:rsid w:val="006D7EF4"/>
    <w:rsid w:val="006E3DB3"/>
    <w:rsid w:val="006E45D0"/>
    <w:rsid w:val="006E65A0"/>
    <w:rsid w:val="006F2D24"/>
    <w:rsid w:val="006F2D7A"/>
    <w:rsid w:val="006F4D19"/>
    <w:rsid w:val="006F58B2"/>
    <w:rsid w:val="006F5AE0"/>
    <w:rsid w:val="006F68BE"/>
    <w:rsid w:val="00700290"/>
    <w:rsid w:val="00703FE8"/>
    <w:rsid w:val="00705835"/>
    <w:rsid w:val="00707165"/>
    <w:rsid w:val="00710F69"/>
    <w:rsid w:val="0071197E"/>
    <w:rsid w:val="007119A1"/>
    <w:rsid w:val="007141A6"/>
    <w:rsid w:val="007167F0"/>
    <w:rsid w:val="00723C7F"/>
    <w:rsid w:val="0072489F"/>
    <w:rsid w:val="00727BC2"/>
    <w:rsid w:val="007331AD"/>
    <w:rsid w:val="0073367D"/>
    <w:rsid w:val="00735370"/>
    <w:rsid w:val="00735B33"/>
    <w:rsid w:val="00735EC3"/>
    <w:rsid w:val="00737352"/>
    <w:rsid w:val="007440F9"/>
    <w:rsid w:val="00744220"/>
    <w:rsid w:val="007449BF"/>
    <w:rsid w:val="00751264"/>
    <w:rsid w:val="0075257E"/>
    <w:rsid w:val="00753AAF"/>
    <w:rsid w:val="0076441E"/>
    <w:rsid w:val="00766D29"/>
    <w:rsid w:val="0076762B"/>
    <w:rsid w:val="00767A23"/>
    <w:rsid w:val="0077012F"/>
    <w:rsid w:val="007703C9"/>
    <w:rsid w:val="00771D0D"/>
    <w:rsid w:val="00773FF9"/>
    <w:rsid w:val="007746F3"/>
    <w:rsid w:val="00781AD0"/>
    <w:rsid w:val="007822CC"/>
    <w:rsid w:val="0078275E"/>
    <w:rsid w:val="00782CA0"/>
    <w:rsid w:val="00783485"/>
    <w:rsid w:val="00784F56"/>
    <w:rsid w:val="00785B14"/>
    <w:rsid w:val="00787A9D"/>
    <w:rsid w:val="00792ED2"/>
    <w:rsid w:val="00794531"/>
    <w:rsid w:val="007954CE"/>
    <w:rsid w:val="007966EE"/>
    <w:rsid w:val="007A5548"/>
    <w:rsid w:val="007B4AF2"/>
    <w:rsid w:val="007C3396"/>
    <w:rsid w:val="007C4A95"/>
    <w:rsid w:val="007C4F1B"/>
    <w:rsid w:val="007C6C69"/>
    <w:rsid w:val="007D20F6"/>
    <w:rsid w:val="007D434E"/>
    <w:rsid w:val="007E182B"/>
    <w:rsid w:val="007F65FA"/>
    <w:rsid w:val="00801077"/>
    <w:rsid w:val="008022C2"/>
    <w:rsid w:val="00811CE2"/>
    <w:rsid w:val="008121B9"/>
    <w:rsid w:val="008129A6"/>
    <w:rsid w:val="00822262"/>
    <w:rsid w:val="00826B9D"/>
    <w:rsid w:val="008278E7"/>
    <w:rsid w:val="00832577"/>
    <w:rsid w:val="008340B5"/>
    <w:rsid w:val="00836633"/>
    <w:rsid w:val="0084186E"/>
    <w:rsid w:val="00845225"/>
    <w:rsid w:val="00846174"/>
    <w:rsid w:val="0084739C"/>
    <w:rsid w:val="00847569"/>
    <w:rsid w:val="00847E3C"/>
    <w:rsid w:val="00861741"/>
    <w:rsid w:val="008629EA"/>
    <w:rsid w:val="00862B7D"/>
    <w:rsid w:val="00863553"/>
    <w:rsid w:val="00863F5A"/>
    <w:rsid w:val="0086653E"/>
    <w:rsid w:val="00866B7F"/>
    <w:rsid w:val="00866CFA"/>
    <w:rsid w:val="0087013C"/>
    <w:rsid w:val="00870931"/>
    <w:rsid w:val="0088014C"/>
    <w:rsid w:val="00882FE2"/>
    <w:rsid w:val="0088488C"/>
    <w:rsid w:val="0088587C"/>
    <w:rsid w:val="00886E82"/>
    <w:rsid w:val="00890612"/>
    <w:rsid w:val="00890778"/>
    <w:rsid w:val="008907BC"/>
    <w:rsid w:val="00890D14"/>
    <w:rsid w:val="008925E8"/>
    <w:rsid w:val="008940F1"/>
    <w:rsid w:val="008944CA"/>
    <w:rsid w:val="008950DE"/>
    <w:rsid w:val="00896D5D"/>
    <w:rsid w:val="008A0635"/>
    <w:rsid w:val="008A1FE6"/>
    <w:rsid w:val="008A2264"/>
    <w:rsid w:val="008A23B8"/>
    <w:rsid w:val="008A241F"/>
    <w:rsid w:val="008A583C"/>
    <w:rsid w:val="008A6E22"/>
    <w:rsid w:val="008B3EEA"/>
    <w:rsid w:val="008C1384"/>
    <w:rsid w:val="008C1B96"/>
    <w:rsid w:val="008C2B49"/>
    <w:rsid w:val="008C3731"/>
    <w:rsid w:val="008C4818"/>
    <w:rsid w:val="008D2827"/>
    <w:rsid w:val="008E01FA"/>
    <w:rsid w:val="008E0A61"/>
    <w:rsid w:val="008E2FF5"/>
    <w:rsid w:val="008E3A9B"/>
    <w:rsid w:val="008E4F80"/>
    <w:rsid w:val="008E75C4"/>
    <w:rsid w:val="008E7C66"/>
    <w:rsid w:val="008F4AD4"/>
    <w:rsid w:val="0090271F"/>
    <w:rsid w:val="00902C65"/>
    <w:rsid w:val="00903D4B"/>
    <w:rsid w:val="00903F38"/>
    <w:rsid w:val="00907743"/>
    <w:rsid w:val="009109B0"/>
    <w:rsid w:val="009137FE"/>
    <w:rsid w:val="00914773"/>
    <w:rsid w:val="00914A7B"/>
    <w:rsid w:val="0091746E"/>
    <w:rsid w:val="00922E51"/>
    <w:rsid w:val="00924AA6"/>
    <w:rsid w:val="00936EF9"/>
    <w:rsid w:val="00945224"/>
    <w:rsid w:val="009454E5"/>
    <w:rsid w:val="00947C4C"/>
    <w:rsid w:val="00947E1A"/>
    <w:rsid w:val="0095040F"/>
    <w:rsid w:val="009527DC"/>
    <w:rsid w:val="00955BB9"/>
    <w:rsid w:val="00957992"/>
    <w:rsid w:val="00964F7F"/>
    <w:rsid w:val="00967BC2"/>
    <w:rsid w:val="0097032E"/>
    <w:rsid w:val="00973C9B"/>
    <w:rsid w:val="00974192"/>
    <w:rsid w:val="00974BB9"/>
    <w:rsid w:val="009765DF"/>
    <w:rsid w:val="0097782F"/>
    <w:rsid w:val="00977FD3"/>
    <w:rsid w:val="009806C2"/>
    <w:rsid w:val="00984A2E"/>
    <w:rsid w:val="00986508"/>
    <w:rsid w:val="00986A76"/>
    <w:rsid w:val="009939B7"/>
    <w:rsid w:val="0099469B"/>
    <w:rsid w:val="009946AF"/>
    <w:rsid w:val="00996C1B"/>
    <w:rsid w:val="009A0B33"/>
    <w:rsid w:val="009A5A45"/>
    <w:rsid w:val="009A78AB"/>
    <w:rsid w:val="009A7A81"/>
    <w:rsid w:val="009B33DE"/>
    <w:rsid w:val="009B3764"/>
    <w:rsid w:val="009B3E1A"/>
    <w:rsid w:val="009B4519"/>
    <w:rsid w:val="009B61E0"/>
    <w:rsid w:val="009B7E8A"/>
    <w:rsid w:val="009C3A91"/>
    <w:rsid w:val="009D09E6"/>
    <w:rsid w:val="009D7E9B"/>
    <w:rsid w:val="009E1497"/>
    <w:rsid w:val="009E4900"/>
    <w:rsid w:val="009E5B1A"/>
    <w:rsid w:val="009E7633"/>
    <w:rsid w:val="009E777E"/>
    <w:rsid w:val="009F01C5"/>
    <w:rsid w:val="009F0EEB"/>
    <w:rsid w:val="009F0F0C"/>
    <w:rsid w:val="009F1481"/>
    <w:rsid w:val="009F52D5"/>
    <w:rsid w:val="00A00917"/>
    <w:rsid w:val="00A03F31"/>
    <w:rsid w:val="00A07195"/>
    <w:rsid w:val="00A07C98"/>
    <w:rsid w:val="00A07D6B"/>
    <w:rsid w:val="00A10E19"/>
    <w:rsid w:val="00A23EE9"/>
    <w:rsid w:val="00A320D7"/>
    <w:rsid w:val="00A34368"/>
    <w:rsid w:val="00A353AD"/>
    <w:rsid w:val="00A41908"/>
    <w:rsid w:val="00A442BC"/>
    <w:rsid w:val="00A50A37"/>
    <w:rsid w:val="00A5150F"/>
    <w:rsid w:val="00A51FB4"/>
    <w:rsid w:val="00A52A62"/>
    <w:rsid w:val="00A536BB"/>
    <w:rsid w:val="00A54F67"/>
    <w:rsid w:val="00A55070"/>
    <w:rsid w:val="00A55F3A"/>
    <w:rsid w:val="00A60A8D"/>
    <w:rsid w:val="00A60F2F"/>
    <w:rsid w:val="00A65D5E"/>
    <w:rsid w:val="00A71DFA"/>
    <w:rsid w:val="00A74BFE"/>
    <w:rsid w:val="00A771F9"/>
    <w:rsid w:val="00A80060"/>
    <w:rsid w:val="00A80192"/>
    <w:rsid w:val="00A85109"/>
    <w:rsid w:val="00A86863"/>
    <w:rsid w:val="00A90DC0"/>
    <w:rsid w:val="00A9152B"/>
    <w:rsid w:val="00A9254E"/>
    <w:rsid w:val="00A9507C"/>
    <w:rsid w:val="00A9624B"/>
    <w:rsid w:val="00AA3D55"/>
    <w:rsid w:val="00AA77C5"/>
    <w:rsid w:val="00AB0117"/>
    <w:rsid w:val="00AB376F"/>
    <w:rsid w:val="00AB3F2B"/>
    <w:rsid w:val="00AB5996"/>
    <w:rsid w:val="00AC2BE3"/>
    <w:rsid w:val="00AC3EC3"/>
    <w:rsid w:val="00AC5EDA"/>
    <w:rsid w:val="00AD2699"/>
    <w:rsid w:val="00AD4D27"/>
    <w:rsid w:val="00AD7B7B"/>
    <w:rsid w:val="00AE1E68"/>
    <w:rsid w:val="00AE6394"/>
    <w:rsid w:val="00AF2956"/>
    <w:rsid w:val="00AF3722"/>
    <w:rsid w:val="00AF5D5A"/>
    <w:rsid w:val="00B02C0F"/>
    <w:rsid w:val="00B03CCD"/>
    <w:rsid w:val="00B0479F"/>
    <w:rsid w:val="00B052E1"/>
    <w:rsid w:val="00B05611"/>
    <w:rsid w:val="00B06641"/>
    <w:rsid w:val="00B10F4E"/>
    <w:rsid w:val="00B16971"/>
    <w:rsid w:val="00B23DAE"/>
    <w:rsid w:val="00B260FD"/>
    <w:rsid w:val="00B2674E"/>
    <w:rsid w:val="00B268F1"/>
    <w:rsid w:val="00B30285"/>
    <w:rsid w:val="00B31F22"/>
    <w:rsid w:val="00B344FD"/>
    <w:rsid w:val="00B34C8E"/>
    <w:rsid w:val="00B360EC"/>
    <w:rsid w:val="00B40A15"/>
    <w:rsid w:val="00B420EE"/>
    <w:rsid w:val="00B43BA7"/>
    <w:rsid w:val="00B5043B"/>
    <w:rsid w:val="00B517E0"/>
    <w:rsid w:val="00B52389"/>
    <w:rsid w:val="00B61D65"/>
    <w:rsid w:val="00B62104"/>
    <w:rsid w:val="00B63CD6"/>
    <w:rsid w:val="00B6457E"/>
    <w:rsid w:val="00B66C52"/>
    <w:rsid w:val="00B705EB"/>
    <w:rsid w:val="00B70D6A"/>
    <w:rsid w:val="00B731FB"/>
    <w:rsid w:val="00B73702"/>
    <w:rsid w:val="00B814FB"/>
    <w:rsid w:val="00B83BC9"/>
    <w:rsid w:val="00B85E58"/>
    <w:rsid w:val="00B927BF"/>
    <w:rsid w:val="00BA308F"/>
    <w:rsid w:val="00BB28A5"/>
    <w:rsid w:val="00BB5503"/>
    <w:rsid w:val="00BC088F"/>
    <w:rsid w:val="00BC15A4"/>
    <w:rsid w:val="00BC6A44"/>
    <w:rsid w:val="00BD1B99"/>
    <w:rsid w:val="00BD24CE"/>
    <w:rsid w:val="00BD4366"/>
    <w:rsid w:val="00BE4C2D"/>
    <w:rsid w:val="00BE6005"/>
    <w:rsid w:val="00BE7B82"/>
    <w:rsid w:val="00BE7C7C"/>
    <w:rsid w:val="00BF10A1"/>
    <w:rsid w:val="00BF10C5"/>
    <w:rsid w:val="00BF2DEE"/>
    <w:rsid w:val="00BF3A13"/>
    <w:rsid w:val="00BF73E0"/>
    <w:rsid w:val="00BF7673"/>
    <w:rsid w:val="00C0009D"/>
    <w:rsid w:val="00C0194A"/>
    <w:rsid w:val="00C0529A"/>
    <w:rsid w:val="00C12019"/>
    <w:rsid w:val="00C2205C"/>
    <w:rsid w:val="00C24034"/>
    <w:rsid w:val="00C266EE"/>
    <w:rsid w:val="00C32399"/>
    <w:rsid w:val="00C343E0"/>
    <w:rsid w:val="00C353D0"/>
    <w:rsid w:val="00C37AF5"/>
    <w:rsid w:val="00C401F8"/>
    <w:rsid w:val="00C45424"/>
    <w:rsid w:val="00C4680B"/>
    <w:rsid w:val="00C46942"/>
    <w:rsid w:val="00C51505"/>
    <w:rsid w:val="00C5669E"/>
    <w:rsid w:val="00C56E83"/>
    <w:rsid w:val="00C64E05"/>
    <w:rsid w:val="00C65AFC"/>
    <w:rsid w:val="00C70B64"/>
    <w:rsid w:val="00C723ED"/>
    <w:rsid w:val="00C74472"/>
    <w:rsid w:val="00C75AB6"/>
    <w:rsid w:val="00C75E33"/>
    <w:rsid w:val="00C774BB"/>
    <w:rsid w:val="00C806E7"/>
    <w:rsid w:val="00C82A26"/>
    <w:rsid w:val="00C83AF1"/>
    <w:rsid w:val="00C84470"/>
    <w:rsid w:val="00C86172"/>
    <w:rsid w:val="00C86B92"/>
    <w:rsid w:val="00C923C1"/>
    <w:rsid w:val="00C94571"/>
    <w:rsid w:val="00C963BE"/>
    <w:rsid w:val="00C9692F"/>
    <w:rsid w:val="00CA2AD9"/>
    <w:rsid w:val="00CA5D02"/>
    <w:rsid w:val="00CA6BF6"/>
    <w:rsid w:val="00CB14ED"/>
    <w:rsid w:val="00CB4B27"/>
    <w:rsid w:val="00CC0FCE"/>
    <w:rsid w:val="00CC1111"/>
    <w:rsid w:val="00CC3C89"/>
    <w:rsid w:val="00CC4120"/>
    <w:rsid w:val="00CC419E"/>
    <w:rsid w:val="00CC7372"/>
    <w:rsid w:val="00CC7EBE"/>
    <w:rsid w:val="00CD1C38"/>
    <w:rsid w:val="00CE0742"/>
    <w:rsid w:val="00CE120F"/>
    <w:rsid w:val="00CE206F"/>
    <w:rsid w:val="00CE53BB"/>
    <w:rsid w:val="00CE6331"/>
    <w:rsid w:val="00CF2D43"/>
    <w:rsid w:val="00CF3C08"/>
    <w:rsid w:val="00CF4DA7"/>
    <w:rsid w:val="00CF591E"/>
    <w:rsid w:val="00D00E7D"/>
    <w:rsid w:val="00D01753"/>
    <w:rsid w:val="00D02F74"/>
    <w:rsid w:val="00D059C1"/>
    <w:rsid w:val="00D062F5"/>
    <w:rsid w:val="00D07446"/>
    <w:rsid w:val="00D107D3"/>
    <w:rsid w:val="00D12817"/>
    <w:rsid w:val="00D21A52"/>
    <w:rsid w:val="00D21D2A"/>
    <w:rsid w:val="00D21FD4"/>
    <w:rsid w:val="00D23EAD"/>
    <w:rsid w:val="00D24828"/>
    <w:rsid w:val="00D272FD"/>
    <w:rsid w:val="00D27637"/>
    <w:rsid w:val="00D30351"/>
    <w:rsid w:val="00D3240D"/>
    <w:rsid w:val="00D34628"/>
    <w:rsid w:val="00D42ED6"/>
    <w:rsid w:val="00D4432D"/>
    <w:rsid w:val="00D47EA5"/>
    <w:rsid w:val="00D50AE1"/>
    <w:rsid w:val="00D51C71"/>
    <w:rsid w:val="00D51EAA"/>
    <w:rsid w:val="00D538F3"/>
    <w:rsid w:val="00D53DCF"/>
    <w:rsid w:val="00D554CF"/>
    <w:rsid w:val="00D572F1"/>
    <w:rsid w:val="00D60D2A"/>
    <w:rsid w:val="00D625B1"/>
    <w:rsid w:val="00D62FE3"/>
    <w:rsid w:val="00D641BF"/>
    <w:rsid w:val="00D64DF9"/>
    <w:rsid w:val="00D71F2B"/>
    <w:rsid w:val="00D7292B"/>
    <w:rsid w:val="00D82D8A"/>
    <w:rsid w:val="00D84F89"/>
    <w:rsid w:val="00D8651E"/>
    <w:rsid w:val="00D92034"/>
    <w:rsid w:val="00D929C1"/>
    <w:rsid w:val="00D932EE"/>
    <w:rsid w:val="00D95C57"/>
    <w:rsid w:val="00D96FF5"/>
    <w:rsid w:val="00DA2EB5"/>
    <w:rsid w:val="00DA560D"/>
    <w:rsid w:val="00DA7A74"/>
    <w:rsid w:val="00DB01E1"/>
    <w:rsid w:val="00DB08DE"/>
    <w:rsid w:val="00DB0DAF"/>
    <w:rsid w:val="00DB5CAB"/>
    <w:rsid w:val="00DB60EC"/>
    <w:rsid w:val="00DC19D8"/>
    <w:rsid w:val="00DC31F6"/>
    <w:rsid w:val="00DC34CA"/>
    <w:rsid w:val="00DC6A1F"/>
    <w:rsid w:val="00DD0E67"/>
    <w:rsid w:val="00DD5A63"/>
    <w:rsid w:val="00DD7C23"/>
    <w:rsid w:val="00DF0D80"/>
    <w:rsid w:val="00DF0E11"/>
    <w:rsid w:val="00DF3233"/>
    <w:rsid w:val="00DF41FA"/>
    <w:rsid w:val="00DF6A82"/>
    <w:rsid w:val="00E005BF"/>
    <w:rsid w:val="00E05478"/>
    <w:rsid w:val="00E0794C"/>
    <w:rsid w:val="00E117AF"/>
    <w:rsid w:val="00E12B26"/>
    <w:rsid w:val="00E143A5"/>
    <w:rsid w:val="00E16024"/>
    <w:rsid w:val="00E16F81"/>
    <w:rsid w:val="00E224BE"/>
    <w:rsid w:val="00E238BE"/>
    <w:rsid w:val="00E2625D"/>
    <w:rsid w:val="00E26452"/>
    <w:rsid w:val="00E267E8"/>
    <w:rsid w:val="00E27552"/>
    <w:rsid w:val="00E32AE6"/>
    <w:rsid w:val="00E33BF3"/>
    <w:rsid w:val="00E361A2"/>
    <w:rsid w:val="00E36FBE"/>
    <w:rsid w:val="00E40497"/>
    <w:rsid w:val="00E4059E"/>
    <w:rsid w:val="00E40E30"/>
    <w:rsid w:val="00E40F26"/>
    <w:rsid w:val="00E448D8"/>
    <w:rsid w:val="00E5327D"/>
    <w:rsid w:val="00E54975"/>
    <w:rsid w:val="00E54FE7"/>
    <w:rsid w:val="00E56765"/>
    <w:rsid w:val="00E5726C"/>
    <w:rsid w:val="00E60088"/>
    <w:rsid w:val="00E61BCB"/>
    <w:rsid w:val="00E61FB8"/>
    <w:rsid w:val="00E70F4C"/>
    <w:rsid w:val="00E71101"/>
    <w:rsid w:val="00E80230"/>
    <w:rsid w:val="00E802E1"/>
    <w:rsid w:val="00E80A62"/>
    <w:rsid w:val="00E84F96"/>
    <w:rsid w:val="00E92A61"/>
    <w:rsid w:val="00E94346"/>
    <w:rsid w:val="00E96859"/>
    <w:rsid w:val="00EA1A24"/>
    <w:rsid w:val="00EA31B1"/>
    <w:rsid w:val="00EA4309"/>
    <w:rsid w:val="00EB0B00"/>
    <w:rsid w:val="00EB3EB5"/>
    <w:rsid w:val="00EB48FD"/>
    <w:rsid w:val="00EC2493"/>
    <w:rsid w:val="00EC285C"/>
    <w:rsid w:val="00EC4D4F"/>
    <w:rsid w:val="00EC56EE"/>
    <w:rsid w:val="00EC76A8"/>
    <w:rsid w:val="00EC7C13"/>
    <w:rsid w:val="00ED2A02"/>
    <w:rsid w:val="00ED7F29"/>
    <w:rsid w:val="00EE58C6"/>
    <w:rsid w:val="00EE5941"/>
    <w:rsid w:val="00EE6310"/>
    <w:rsid w:val="00EF0676"/>
    <w:rsid w:val="00EF161E"/>
    <w:rsid w:val="00EF3DAD"/>
    <w:rsid w:val="00F017D8"/>
    <w:rsid w:val="00F01B0B"/>
    <w:rsid w:val="00F01B4F"/>
    <w:rsid w:val="00F041A8"/>
    <w:rsid w:val="00F04E29"/>
    <w:rsid w:val="00F05837"/>
    <w:rsid w:val="00F061CB"/>
    <w:rsid w:val="00F075DC"/>
    <w:rsid w:val="00F11E00"/>
    <w:rsid w:val="00F1203E"/>
    <w:rsid w:val="00F14958"/>
    <w:rsid w:val="00F15C76"/>
    <w:rsid w:val="00F211B2"/>
    <w:rsid w:val="00F22A83"/>
    <w:rsid w:val="00F23371"/>
    <w:rsid w:val="00F24E78"/>
    <w:rsid w:val="00F311E6"/>
    <w:rsid w:val="00F335F6"/>
    <w:rsid w:val="00F33DE0"/>
    <w:rsid w:val="00F40C4A"/>
    <w:rsid w:val="00F42266"/>
    <w:rsid w:val="00F44785"/>
    <w:rsid w:val="00F45A7B"/>
    <w:rsid w:val="00F47E28"/>
    <w:rsid w:val="00F52A57"/>
    <w:rsid w:val="00F538A5"/>
    <w:rsid w:val="00F5638A"/>
    <w:rsid w:val="00F655B5"/>
    <w:rsid w:val="00F670AD"/>
    <w:rsid w:val="00F67729"/>
    <w:rsid w:val="00F67740"/>
    <w:rsid w:val="00F74DBD"/>
    <w:rsid w:val="00F75102"/>
    <w:rsid w:val="00F80607"/>
    <w:rsid w:val="00F822FD"/>
    <w:rsid w:val="00F83455"/>
    <w:rsid w:val="00F866D6"/>
    <w:rsid w:val="00F87CE5"/>
    <w:rsid w:val="00F90644"/>
    <w:rsid w:val="00F91C56"/>
    <w:rsid w:val="00F9439C"/>
    <w:rsid w:val="00F959E1"/>
    <w:rsid w:val="00F960C4"/>
    <w:rsid w:val="00FA06D8"/>
    <w:rsid w:val="00FA15E8"/>
    <w:rsid w:val="00FA3D6C"/>
    <w:rsid w:val="00FA5F6B"/>
    <w:rsid w:val="00FA70D4"/>
    <w:rsid w:val="00FB03C2"/>
    <w:rsid w:val="00FB12E1"/>
    <w:rsid w:val="00FB209D"/>
    <w:rsid w:val="00FB3751"/>
    <w:rsid w:val="00FB4FE4"/>
    <w:rsid w:val="00FB5888"/>
    <w:rsid w:val="00FC2801"/>
    <w:rsid w:val="00FC3480"/>
    <w:rsid w:val="00FC739D"/>
    <w:rsid w:val="00FD001A"/>
    <w:rsid w:val="00FD0989"/>
    <w:rsid w:val="00FD34E3"/>
    <w:rsid w:val="00FD3ECD"/>
    <w:rsid w:val="00FD79A6"/>
    <w:rsid w:val="00FE5777"/>
    <w:rsid w:val="00FF0473"/>
    <w:rsid w:val="00FF3C7E"/>
    <w:rsid w:val="00FF4DE0"/>
    <w:rsid w:val="00FF612A"/>
    <w:rsid w:val="012EC4E1"/>
    <w:rsid w:val="01808707"/>
    <w:rsid w:val="037A5EB1"/>
    <w:rsid w:val="06DCD09A"/>
    <w:rsid w:val="071A717B"/>
    <w:rsid w:val="078F82B8"/>
    <w:rsid w:val="07C150F4"/>
    <w:rsid w:val="0A781000"/>
    <w:rsid w:val="0AE45248"/>
    <w:rsid w:val="114F0ADD"/>
    <w:rsid w:val="122F1AC6"/>
    <w:rsid w:val="157A6E92"/>
    <w:rsid w:val="1642F970"/>
    <w:rsid w:val="182CADC7"/>
    <w:rsid w:val="1AD2103B"/>
    <w:rsid w:val="1B6384EE"/>
    <w:rsid w:val="207B87AB"/>
    <w:rsid w:val="24A4BCEF"/>
    <w:rsid w:val="24C53A5F"/>
    <w:rsid w:val="2B825FD9"/>
    <w:rsid w:val="33DC7192"/>
    <w:rsid w:val="341A285E"/>
    <w:rsid w:val="3665F3B3"/>
    <w:rsid w:val="3757DAF2"/>
    <w:rsid w:val="3A68EC72"/>
    <w:rsid w:val="3BC26959"/>
    <w:rsid w:val="3CF93D93"/>
    <w:rsid w:val="3DF3ACEE"/>
    <w:rsid w:val="3E4DD75C"/>
    <w:rsid w:val="40F3B6D6"/>
    <w:rsid w:val="432B4E5E"/>
    <w:rsid w:val="468C029C"/>
    <w:rsid w:val="4865CBD4"/>
    <w:rsid w:val="4CF57B33"/>
    <w:rsid w:val="4E0BEA07"/>
    <w:rsid w:val="4F249C7B"/>
    <w:rsid w:val="501B0238"/>
    <w:rsid w:val="502D1BF5"/>
    <w:rsid w:val="55008D18"/>
    <w:rsid w:val="5DC2EF04"/>
    <w:rsid w:val="60FA8FC6"/>
    <w:rsid w:val="63FF2844"/>
    <w:rsid w:val="64323088"/>
    <w:rsid w:val="65CE00E9"/>
    <w:rsid w:val="6769D14A"/>
    <w:rsid w:val="67701758"/>
    <w:rsid w:val="6AA1720C"/>
    <w:rsid w:val="6B61E602"/>
    <w:rsid w:val="6C452FF3"/>
    <w:rsid w:val="6D1BF445"/>
    <w:rsid w:val="71E3F913"/>
    <w:rsid w:val="773EF3F9"/>
    <w:rsid w:val="7787E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4FBC"/>
  <w15:docId w15:val="{64B97F05-6E07-4D5F-BC72-D9A70BC2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7D"/>
  </w:style>
  <w:style w:type="paragraph" w:styleId="Footer">
    <w:name w:val="footer"/>
    <w:basedOn w:val="Normal"/>
    <w:link w:val="FooterChar"/>
    <w:uiPriority w:val="99"/>
    <w:unhideWhenUsed/>
    <w:rsid w:val="0020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7D"/>
  </w:style>
  <w:style w:type="paragraph" w:styleId="BalloonText">
    <w:name w:val="Balloon Text"/>
    <w:basedOn w:val="Normal"/>
    <w:link w:val="BalloonTextChar"/>
    <w:uiPriority w:val="99"/>
    <w:semiHidden/>
    <w:unhideWhenUsed/>
    <w:rsid w:val="0020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7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1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B16971"/>
  </w:style>
  <w:style w:type="character" w:customStyle="1" w:styleId="eop">
    <w:name w:val="eop"/>
    <w:basedOn w:val="DefaultParagraphFont"/>
    <w:rsid w:val="00B16971"/>
  </w:style>
  <w:style w:type="paragraph" w:styleId="ListParagraph">
    <w:name w:val="List Paragraph"/>
    <w:basedOn w:val="Normal"/>
    <w:uiPriority w:val="34"/>
    <w:qFormat/>
    <w:rsid w:val="00766D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0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644"/>
    <w:rPr>
      <w:b/>
      <w:bCs/>
      <w:sz w:val="20"/>
      <w:szCs w:val="20"/>
    </w:rPr>
  </w:style>
  <w:style w:type="paragraph" w:customStyle="1" w:styleId="Default">
    <w:name w:val="Default"/>
    <w:rsid w:val="00B523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2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2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29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1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5D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D1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DC6A1F"/>
    <w:pPr>
      <w:spacing w:after="0" w:line="24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6A1F"/>
    <w:rPr>
      <w:rFonts w:ascii="Arial" w:hAnsi="Arial" w:cs="Arial"/>
    </w:rPr>
  </w:style>
  <w:style w:type="paragraph" w:customStyle="1" w:styleId="Headings">
    <w:name w:val="Headings"/>
    <w:basedOn w:val="Normal"/>
    <w:link w:val="HeadingsChar"/>
    <w:qFormat/>
    <w:rsid w:val="007C6C69"/>
    <w:pPr>
      <w:spacing w:after="0" w:line="240" w:lineRule="auto"/>
      <w:outlineLvl w:val="0"/>
    </w:pPr>
    <w:rPr>
      <w:rFonts w:ascii="Arial" w:hAnsi="Arial" w:cs="Arial"/>
      <w:b/>
      <w:bCs/>
      <w:color w:val="008080"/>
      <w:sz w:val="24"/>
      <w:szCs w:val="24"/>
    </w:rPr>
  </w:style>
  <w:style w:type="character" w:customStyle="1" w:styleId="HeadingsChar">
    <w:name w:val="Headings Char"/>
    <w:basedOn w:val="DefaultParagraphFont"/>
    <w:link w:val="Headings"/>
    <w:rsid w:val="007C6C69"/>
    <w:rPr>
      <w:rFonts w:ascii="Arial" w:hAnsi="Arial" w:cs="Arial"/>
      <w:b/>
      <w:bCs/>
      <w:color w:val="008080"/>
      <w:sz w:val="24"/>
      <w:szCs w:val="24"/>
    </w:rPr>
  </w:style>
  <w:style w:type="paragraph" w:customStyle="1" w:styleId="Body">
    <w:name w:val="Body"/>
    <w:basedOn w:val="ListParagraph"/>
    <w:link w:val="BodyChar"/>
    <w:qFormat/>
    <w:rsid w:val="007C6C69"/>
    <w:pPr>
      <w:numPr>
        <w:ilvl w:val="1"/>
        <w:numId w:val="23"/>
      </w:numPr>
      <w:spacing w:before="120" w:after="120" w:line="360" w:lineRule="auto"/>
      <w:contextualSpacing w:val="0"/>
      <w:outlineLvl w:val="1"/>
    </w:pPr>
    <w:rPr>
      <w:rFonts w:ascii="Arial" w:hAnsi="Arial" w:cs="Arial"/>
      <w:sz w:val="24"/>
      <w:szCs w:val="24"/>
    </w:rPr>
  </w:style>
  <w:style w:type="character" w:customStyle="1" w:styleId="BodyChar">
    <w:name w:val="Body Char"/>
    <w:basedOn w:val="DefaultParagraphFont"/>
    <w:link w:val="Body"/>
    <w:rsid w:val="007C6C69"/>
    <w:rPr>
      <w:rFonts w:ascii="Arial" w:hAnsi="Arial" w:cs="Arial"/>
      <w:sz w:val="24"/>
      <w:szCs w:val="24"/>
    </w:rPr>
  </w:style>
  <w:style w:type="character" w:customStyle="1" w:styleId="normaltextrun">
    <w:name w:val="normaltextrun"/>
    <w:basedOn w:val="DefaultParagraphFont"/>
    <w:rsid w:val="007C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7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0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56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2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55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51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18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0616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4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23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59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197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22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03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1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89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14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09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1448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2800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253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685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0532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04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19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8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081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529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40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5434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70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637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7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1431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9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7424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6116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45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416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092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5397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513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3180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468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6020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158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5189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28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672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0811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053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307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6249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818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4456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088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416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app.powerbi.com/MobileRedirect.html?action=OpenReport&amp;groupObjectId=fb67955b-1704-4aec-9f5f-408bd3f22bf6&amp;reportObjectId=087a67df-389c-43b3-87ee-c4a118041869&amp;ctid=b8ab75dd-ce9d-4460-b5a7-c6daf8a9dfdd&amp;reportPage=ReportSection819a0f0bc9a41bf4a058&amp;pbi_source=copyvisualimage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p.powerbi.com/MobileRedirect.html?action=OpenReport&amp;groupObjectId=fb67955b-1704-4aec-9f5f-408bd3f22bf6&amp;reportObjectId=a74b20db-d78b-4dd8-bd43-563d755f8f19&amp;ctid=b8ab75dd-ce9d-4460-b5a7-c6daf8a9dfdd&amp;reportPage=ReportSection7e8f7889ea75e69db800&amp;pbi_source=copyvisualima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08102d-7d12-48ee-8616-cdffab956349">
      <UserInfo>
        <DisplayName>Andy Vincent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5D92CB8BA44EA4922F3C3FD88ADA" ma:contentTypeVersion="6" ma:contentTypeDescription="Create a new document." ma:contentTypeScope="" ma:versionID="4ef9d20c595342e9506dffde246d35eb">
  <xsd:schema xmlns:xsd="http://www.w3.org/2001/XMLSchema" xmlns:xs="http://www.w3.org/2001/XMLSchema" xmlns:p="http://schemas.microsoft.com/office/2006/metadata/properties" xmlns:ns2="e0b4ac10-a8f2-4175-9bce-3328ff73a373" xmlns:ns3="1608102d-7d12-48ee-8616-cdffab956349" targetNamespace="http://schemas.microsoft.com/office/2006/metadata/properties" ma:root="true" ma:fieldsID="2d1062f71c81ff6fc3d4b97ace06e5f8" ns2:_="" ns3:_="">
    <xsd:import namespace="e0b4ac10-a8f2-4175-9bce-3328ff73a373"/>
    <xsd:import namespace="1608102d-7d12-48ee-8616-cdffab956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4ac10-a8f2-4175-9bce-3328ff73a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8102d-7d12-48ee-8616-cdffab956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AD351-BA45-4FE3-87A0-50632E57ABAE}">
  <ds:schemaRefs>
    <ds:schemaRef ds:uri="http://schemas.microsoft.com/office/2006/documentManagement/types"/>
    <ds:schemaRef ds:uri="http://schemas.openxmlformats.org/package/2006/metadata/core-properties"/>
    <ds:schemaRef ds:uri="1608102d-7d12-48ee-8616-cdffab956349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e0b4ac10-a8f2-4175-9bce-3328ff73a3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35594C-26EC-40D2-9642-23D523A3B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4ac10-a8f2-4175-9bce-3328ff73a373"/>
    <ds:schemaRef ds:uri="1608102d-7d12-48ee-8616-cdffab956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E42E1-E958-4EDF-B3FD-D990F95A3E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32829E-0819-44FF-B6E6-7F82370A0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Mtakati</dc:creator>
  <cp:keywords/>
  <cp:lastModifiedBy>Valerie Oldfield</cp:lastModifiedBy>
  <cp:revision>2</cp:revision>
  <cp:lastPrinted>2021-01-20T07:24:00Z</cp:lastPrinted>
  <dcterms:created xsi:type="dcterms:W3CDTF">2024-05-26T22:41:00Z</dcterms:created>
  <dcterms:modified xsi:type="dcterms:W3CDTF">2024-05-26T22:41:00Z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0x010100E9625D92CB8BA44EA4922F3C3FD88ADA</vt:lpwstr>
  </property>
</Properties>
</file>